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spacing w:before="120" w:after="120"/>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“情报平台（二期）运维服务”项目</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right"/>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项目编号：</w:t>
      </w:r>
      <w:r>
        <w:rPr>
          <w:rFonts w:ascii="黑体" w:hAnsi="黑体" w:eastAsia="黑体" w:cstheme="majorEastAsia"/>
          <w:b/>
          <w:bCs/>
          <w:color w:val="000000" w:themeColor="text1"/>
          <w:sz w:val="36"/>
          <w:szCs w:val="36"/>
        </w:rPr>
        <w:t xml:space="preserve">XCGAQZ </w:t>
      </w:r>
      <w:r>
        <w:rPr>
          <w:rFonts w:hint="eastAsia" w:ascii="黑体" w:hAnsi="黑体" w:eastAsia="黑体" w:cstheme="majorEastAsia"/>
          <w:b/>
          <w:bCs/>
          <w:color w:val="000000" w:themeColor="text1"/>
          <w:sz w:val="36"/>
          <w:szCs w:val="36"/>
        </w:rPr>
        <w:t>-T2022</w:t>
      </w:r>
      <w:r>
        <w:rPr>
          <w:rFonts w:ascii="黑体" w:hAnsi="黑体" w:eastAsia="黑体" w:cstheme="majorEastAsia"/>
          <w:b/>
          <w:bCs/>
          <w:color w:val="000000" w:themeColor="text1"/>
          <w:sz w:val="36"/>
          <w:szCs w:val="36"/>
        </w:rPr>
        <w:t>001</w:t>
      </w:r>
      <w:r>
        <w:rPr>
          <w:rFonts w:hint="eastAsia" w:asciiTheme="majorEastAsia" w:hAnsiTheme="majorEastAsia" w:eastAsiaTheme="majorEastAsia" w:cstheme="majorEastAsia"/>
          <w:b/>
          <w:bCs/>
          <w:sz w:val="36"/>
          <w:szCs w:val="36"/>
        </w:rPr>
        <w:t>号</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采购单位：许昌市公安局</w:t>
      </w:r>
    </w:p>
    <w:p>
      <w:pPr>
        <w:ind w:firstLine="1084" w:firstLineChars="300"/>
        <w:rPr>
          <w:rFonts w:asciiTheme="majorEastAsia" w:hAnsiTheme="majorEastAsia" w:eastAsiaTheme="majorEastAsia" w:cstheme="majorEastAsia"/>
          <w:b/>
          <w:bCs/>
          <w:sz w:val="36"/>
          <w:szCs w:val="36"/>
        </w:rPr>
      </w:pP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color w:val="000000" w:themeColor="text1"/>
          <w:sz w:val="36"/>
          <w:szCs w:val="36"/>
        </w:rPr>
      </w:pPr>
      <w:r>
        <w:rPr>
          <w:rFonts w:hint="eastAsia" w:asciiTheme="majorEastAsia" w:hAnsiTheme="majorEastAsia" w:eastAsiaTheme="majorEastAsia" w:cstheme="majorEastAsia"/>
          <w:b/>
          <w:bCs/>
          <w:color w:val="000000" w:themeColor="text1"/>
          <w:sz w:val="36"/>
          <w:szCs w:val="36"/>
        </w:rPr>
        <w:t>二〇二二年七月</w:t>
      </w:r>
      <w:r>
        <w:rPr>
          <w:rFonts w:hint="eastAsia" w:asciiTheme="majorEastAsia" w:hAnsiTheme="majorEastAsia" w:eastAsiaTheme="majorEastAsia" w:cstheme="majorEastAsia"/>
          <w:b/>
          <w:bCs/>
          <w:color w:val="000000" w:themeColor="text1"/>
          <w:sz w:val="36"/>
          <w:szCs w:val="36"/>
          <w:lang w:eastAsia="zh-CN"/>
        </w:rPr>
        <w:t>十一</w:t>
      </w:r>
      <w:r>
        <w:rPr>
          <w:rFonts w:hint="eastAsia" w:asciiTheme="majorEastAsia" w:hAnsiTheme="majorEastAsia" w:eastAsiaTheme="majorEastAsia" w:cstheme="majorEastAsia"/>
          <w:b/>
          <w:bCs/>
          <w:color w:val="000000" w:themeColor="text1"/>
          <w:sz w:val="36"/>
          <w:szCs w:val="36"/>
        </w:rPr>
        <w:t>日</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对响应文件审查与评审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拟签订的合同文本</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谈判邀请</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p>
    <w:p>
      <w:pPr>
        <w:pStyle w:val="20"/>
        <w:widowControl/>
        <w:shd w:val="clear" w:color="auto" w:fill="FFFFFF"/>
        <w:spacing w:line="360" w:lineRule="auto"/>
        <w:ind w:firstLine="420"/>
        <w:contextualSpacing/>
        <w:jc w:val="left"/>
        <w:rPr>
          <w:rFonts w:ascii="宋体" w:hAnsi="宋体" w:cs="微软雅黑"/>
          <w:sz w:val="21"/>
          <w:szCs w:val="21"/>
        </w:rPr>
      </w:pPr>
      <w:r>
        <w:rPr>
          <w:rFonts w:hint="eastAsia" w:cs="仿宋_GB2312" w:asciiTheme="minorEastAsia" w:hAnsiTheme="minorEastAsia" w:eastAsiaTheme="minorEastAsia"/>
          <w:color w:val="000000"/>
          <w:sz w:val="21"/>
          <w:szCs w:val="21"/>
          <w:shd w:val="clear" w:color="auto" w:fill="FFFFFF"/>
        </w:rPr>
        <w:t>许昌市公安局对“情报平台（二期）运维服务”项目</w:t>
      </w:r>
      <w:r>
        <w:rPr>
          <w:rFonts w:hint="eastAsia" w:ascii="宋体" w:hAnsi="宋体" w:cs="仿宋_GB2312"/>
          <w:color w:val="000000"/>
          <w:sz w:val="21"/>
          <w:szCs w:val="21"/>
          <w:shd w:val="clear" w:color="auto" w:fill="FFFFFF"/>
        </w:rPr>
        <w:t>进行竞争性谈判</w:t>
      </w:r>
      <w:r>
        <w:rPr>
          <w:rFonts w:hint="eastAsia" w:cs="仿宋_GB2312" w:asciiTheme="minorEastAsia" w:hAnsiTheme="minorEastAsia" w:eastAsiaTheme="minorEastAsia"/>
          <w:color w:val="000000"/>
          <w:sz w:val="21"/>
          <w:szCs w:val="21"/>
          <w:shd w:val="clear" w:color="auto" w:fill="FFFFFF"/>
        </w:rPr>
        <w:t>采购</w:t>
      </w:r>
      <w:r>
        <w:rPr>
          <w:rFonts w:hint="eastAsia" w:ascii="宋体" w:hAnsi="宋体" w:cs="仿宋_GB2312"/>
          <w:color w:val="000000"/>
          <w:sz w:val="21"/>
          <w:szCs w:val="21"/>
          <w:shd w:val="clear" w:color="auto" w:fill="FFFFFF"/>
        </w:rPr>
        <w:t>。</w:t>
      </w:r>
      <w:r>
        <w:rPr>
          <w:rFonts w:hint="eastAsia" w:ascii="宋体" w:hAnsi="宋体" w:cs="微软雅黑"/>
          <w:sz w:val="21"/>
          <w:szCs w:val="21"/>
        </w:rPr>
        <w:t>现邀请符合本谈判文件规定条件的供应商前来谈判。</w:t>
      </w:r>
    </w:p>
    <w:p>
      <w:pPr>
        <w:pStyle w:val="20"/>
        <w:widowControl/>
        <w:shd w:val="clear" w:color="auto" w:fill="FFFFFF"/>
        <w:spacing w:line="360" w:lineRule="auto"/>
        <w:ind w:firstLine="420"/>
        <w:contextualSpacing/>
        <w:jc w:val="left"/>
        <w:rPr>
          <w:rFonts w:ascii="宋体" w:hAnsi="宋体" w:cs="微软雅黑"/>
          <w:sz w:val="21"/>
          <w:szCs w:val="21"/>
        </w:rPr>
      </w:pPr>
      <w:r>
        <w:rPr>
          <w:rFonts w:hint="eastAsia" w:cs="黑体" w:asciiTheme="minorEastAsia" w:hAnsiTheme="minorEastAsia" w:eastAsiaTheme="minorEastAsia"/>
          <w:b/>
          <w:bCs/>
          <w:color w:val="000000"/>
          <w:sz w:val="21"/>
          <w:szCs w:val="21"/>
          <w:shd w:val="clear" w:color="auto" w:fill="FFFFFF"/>
        </w:rPr>
        <w:t>一、项目基本情况</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w:t>
      </w:r>
      <w:r>
        <w:rPr>
          <w:rFonts w:cs="仿宋_GB2312" w:asciiTheme="minorEastAsia" w:hAnsiTheme="minorEastAsia" w:eastAsiaTheme="minorEastAsia"/>
          <w:color w:val="000000"/>
          <w:sz w:val="21"/>
          <w:szCs w:val="21"/>
          <w:shd w:val="clear" w:color="auto" w:fill="FFFFFF"/>
        </w:rPr>
        <w:t xml:space="preserve">XCGAQZ </w:t>
      </w:r>
      <w:r>
        <w:rPr>
          <w:rFonts w:hint="eastAsia" w:cs="仿宋_GB2312" w:asciiTheme="minorEastAsia" w:hAnsiTheme="minorEastAsia" w:eastAsiaTheme="minorEastAsia"/>
          <w:color w:val="000000"/>
          <w:sz w:val="21"/>
          <w:szCs w:val="21"/>
          <w:shd w:val="clear" w:color="auto" w:fill="FFFFFF"/>
        </w:rPr>
        <w:t>-T2022</w:t>
      </w:r>
      <w:r>
        <w:rPr>
          <w:rFonts w:cs="仿宋_GB2312" w:asciiTheme="minorEastAsia" w:hAnsiTheme="minorEastAsia" w:eastAsiaTheme="minorEastAsia"/>
          <w:color w:val="000000"/>
          <w:sz w:val="21"/>
          <w:szCs w:val="21"/>
          <w:shd w:val="clear" w:color="auto" w:fill="FFFFFF"/>
        </w:rPr>
        <w:t>001</w:t>
      </w:r>
      <w:r>
        <w:rPr>
          <w:rFonts w:hint="eastAsia" w:cs="仿宋_GB2312" w:asciiTheme="minorEastAsia" w:hAnsiTheme="minorEastAsia" w:eastAsiaTheme="minorEastAsia"/>
          <w:color w:val="000000"/>
          <w:sz w:val="21"/>
          <w:szCs w:val="21"/>
          <w:shd w:val="clear" w:color="auto" w:fill="FFFFFF"/>
        </w:rPr>
        <w:t>号</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三、项目名称：情报平台（二期）运维服务</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四、采购方式：竞争性谈判</w:t>
      </w:r>
    </w:p>
    <w:p>
      <w:pPr>
        <w:pStyle w:val="20"/>
        <w:widowControl/>
        <w:numPr>
          <w:ilvl w:val="0"/>
          <w:numId w:val="5"/>
        </w:numPr>
        <w:shd w:val="clear" w:color="auto" w:fill="FFFFFF"/>
        <w:spacing w:line="360" w:lineRule="auto"/>
        <w:contextualSpacing/>
        <w:jc w:val="left"/>
        <w:rPr>
          <w:rFonts w:cs="仿宋_GB2312" w:asciiTheme="minorEastAsia" w:hAnsiTheme="minorEastAsia" w:eastAsiaTheme="minorEastAsia"/>
          <w:color w:val="000000" w:themeColor="text1"/>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项目主要内容、数量及要求：</w:t>
      </w:r>
      <w:r>
        <w:rPr>
          <w:rFonts w:hint="eastAsia" w:cs="仿宋_GB2312" w:asciiTheme="minorEastAsia" w:hAnsiTheme="minorEastAsia" w:eastAsiaTheme="minorEastAsia"/>
          <w:color w:val="000000" w:themeColor="text1"/>
          <w:sz w:val="21"/>
          <w:szCs w:val="21"/>
          <w:shd w:val="clear" w:color="auto" w:fill="FFFFFF"/>
        </w:rPr>
        <w:t>许昌市公安局情报平台（</w:t>
      </w:r>
      <w:r>
        <w:rPr>
          <w:rFonts w:cs="仿宋_GB2312" w:asciiTheme="minorEastAsia" w:hAnsiTheme="minorEastAsia" w:eastAsiaTheme="minorEastAsia"/>
          <w:color w:val="000000" w:themeColor="text1"/>
          <w:sz w:val="21"/>
          <w:szCs w:val="21"/>
          <w:shd w:val="clear" w:color="auto" w:fill="FFFFFF"/>
        </w:rPr>
        <w:t>二</w:t>
      </w:r>
      <w:r>
        <w:rPr>
          <w:rFonts w:hint="eastAsia" w:cs="仿宋_GB2312" w:asciiTheme="minorEastAsia" w:hAnsiTheme="minorEastAsia" w:eastAsiaTheme="minorEastAsia"/>
          <w:color w:val="000000" w:themeColor="text1"/>
          <w:sz w:val="21"/>
          <w:szCs w:val="21"/>
          <w:shd w:val="clear" w:color="auto" w:fill="FFFFFF"/>
        </w:rPr>
        <w:t>期）</w:t>
      </w:r>
      <w:r>
        <w:rPr>
          <w:rFonts w:cs="仿宋_GB2312" w:asciiTheme="minorEastAsia" w:hAnsiTheme="minorEastAsia" w:eastAsiaTheme="minorEastAsia"/>
          <w:color w:val="000000" w:themeColor="text1"/>
          <w:sz w:val="21"/>
          <w:szCs w:val="21"/>
          <w:shd w:val="clear" w:color="auto" w:fill="FFFFFF"/>
        </w:rPr>
        <w:t>软件</w:t>
      </w:r>
      <w:r>
        <w:rPr>
          <w:rFonts w:hint="eastAsia" w:cs="仿宋_GB2312" w:asciiTheme="minorEastAsia" w:hAnsiTheme="minorEastAsia" w:eastAsiaTheme="minorEastAsia"/>
          <w:color w:val="000000" w:themeColor="text1"/>
          <w:sz w:val="21"/>
          <w:szCs w:val="21"/>
          <w:shd w:val="clear" w:color="auto" w:fill="FFFFFF"/>
        </w:rPr>
        <w:t>系统三年运维服务。</w:t>
      </w:r>
    </w:p>
    <w:p>
      <w:pPr>
        <w:pStyle w:val="20"/>
        <w:widowControl/>
        <w:numPr>
          <w:ilvl w:val="0"/>
          <w:numId w:val="5"/>
        </w:numPr>
        <w:shd w:val="clear" w:color="auto" w:fill="FFFFFF"/>
        <w:spacing w:line="360" w:lineRule="auto"/>
        <w:contextualSpacing/>
        <w:jc w:val="left"/>
        <w:rPr>
          <w:rFonts w:cs="仿宋_GB2312" w:asciiTheme="minorEastAsia" w:hAnsiTheme="minorEastAsia" w:eastAsiaTheme="minorEastAsia"/>
          <w:color w:val="000000" w:themeColor="text1"/>
          <w:sz w:val="21"/>
          <w:szCs w:val="21"/>
          <w:shd w:val="clear" w:color="auto" w:fill="FFFFFF"/>
        </w:rPr>
      </w:pPr>
      <w:r>
        <w:rPr>
          <w:rFonts w:hint="eastAsia" w:cs="仿宋_GB2312" w:asciiTheme="minorEastAsia" w:hAnsiTheme="minorEastAsia" w:eastAsiaTheme="minorEastAsia"/>
          <w:color w:val="000000" w:themeColor="text1"/>
          <w:sz w:val="21"/>
          <w:szCs w:val="21"/>
          <w:shd w:val="clear" w:color="auto" w:fill="FFFFFF"/>
        </w:rPr>
        <w:t>预算金额： 16.5万元。</w:t>
      </w:r>
    </w:p>
    <w:p>
      <w:pPr>
        <w:pStyle w:val="20"/>
        <w:widowControl/>
        <w:numPr>
          <w:ilvl w:val="0"/>
          <w:numId w:val="5"/>
        </w:numPr>
        <w:shd w:val="clear" w:color="auto" w:fill="FFFFFF"/>
        <w:spacing w:line="360" w:lineRule="auto"/>
        <w:contextualSpacing/>
        <w:jc w:val="left"/>
        <w:rPr>
          <w:rFonts w:cs="仿宋_GB2312" w:asciiTheme="minorEastAsia" w:hAnsiTheme="minorEastAsia" w:eastAsiaTheme="minorEastAsia"/>
          <w:color w:val="000000" w:themeColor="text1"/>
          <w:sz w:val="21"/>
          <w:szCs w:val="21"/>
          <w:shd w:val="clear" w:color="auto" w:fill="FFFFFF"/>
        </w:rPr>
      </w:pPr>
      <w:r>
        <w:rPr>
          <w:rFonts w:hint="eastAsia" w:cs="仿宋_GB2312" w:asciiTheme="minorEastAsia" w:hAnsiTheme="minorEastAsia" w:eastAsiaTheme="minorEastAsia"/>
          <w:color w:val="000000" w:themeColor="text1"/>
          <w:sz w:val="21"/>
          <w:szCs w:val="21"/>
          <w:shd w:val="clear" w:color="auto" w:fill="FFFFFF"/>
        </w:rPr>
        <w:t>最高限价： 16.5万元。</w:t>
      </w:r>
    </w:p>
    <w:p>
      <w:pPr>
        <w:pStyle w:val="20"/>
        <w:widowControl/>
        <w:numPr>
          <w:ilvl w:val="0"/>
          <w:numId w:val="5"/>
        </w:numPr>
        <w:shd w:val="clear" w:color="auto" w:fill="FFFFFF"/>
        <w:spacing w:line="360" w:lineRule="auto"/>
        <w:contextualSpacing/>
        <w:jc w:val="left"/>
        <w:rPr>
          <w:rFonts w:cs="仿宋_GB2312" w:asciiTheme="minorEastAsia" w:hAnsiTheme="minorEastAsia" w:eastAsiaTheme="minorEastAsia"/>
          <w:color w:val="000000" w:themeColor="text1"/>
          <w:sz w:val="21"/>
          <w:szCs w:val="21"/>
          <w:shd w:val="clear" w:color="auto" w:fill="FFFFFF"/>
        </w:rPr>
      </w:pPr>
      <w:r>
        <w:rPr>
          <w:rFonts w:hint="eastAsia" w:cs="仿宋_GB2312" w:asciiTheme="minorEastAsia" w:hAnsiTheme="minorEastAsia" w:eastAsiaTheme="minorEastAsia"/>
          <w:color w:val="000000" w:themeColor="text1"/>
          <w:sz w:val="21"/>
          <w:szCs w:val="21"/>
          <w:shd w:val="clear" w:color="auto" w:fill="FFFFFF"/>
        </w:rPr>
        <w:t>履约时间 ：</w:t>
      </w:r>
      <w:bookmarkStart w:id="0" w:name="交付日期"/>
      <w:r>
        <w:rPr>
          <w:rFonts w:hint="eastAsia" w:cs="仿宋_GB2312" w:asciiTheme="minorEastAsia" w:hAnsiTheme="minorEastAsia" w:eastAsiaTheme="minorEastAsia"/>
          <w:color w:val="000000" w:themeColor="text1"/>
          <w:sz w:val="21"/>
          <w:szCs w:val="21"/>
        </w:rPr>
        <w:t>自合同生效之日起</w:t>
      </w:r>
      <w:bookmarkEnd w:id="0"/>
      <w:r>
        <w:rPr>
          <w:rFonts w:hint="eastAsia" w:cs="仿宋_GB2312" w:asciiTheme="minorEastAsia" w:hAnsiTheme="minorEastAsia" w:eastAsiaTheme="minorEastAsia"/>
          <w:color w:val="000000" w:themeColor="text1"/>
          <w:sz w:val="21"/>
          <w:szCs w:val="21"/>
        </w:rPr>
        <w:t>三年。</w:t>
      </w:r>
    </w:p>
    <w:p>
      <w:pPr>
        <w:pStyle w:val="20"/>
        <w:widowControl/>
        <w:numPr>
          <w:ilvl w:val="0"/>
          <w:numId w:val="5"/>
        </w:numPr>
        <w:shd w:val="clear" w:color="auto" w:fill="FFFFFF"/>
        <w:spacing w:line="360" w:lineRule="auto"/>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履约地点：许昌市公安局</w:t>
      </w:r>
    </w:p>
    <w:p>
      <w:pPr>
        <w:pStyle w:val="20"/>
        <w:widowControl/>
        <w:numPr>
          <w:ilvl w:val="0"/>
          <w:numId w:val="5"/>
        </w:numPr>
        <w:shd w:val="clear" w:color="auto" w:fill="FFFFFF"/>
        <w:spacing w:line="360" w:lineRule="auto"/>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分包：不允许</w:t>
      </w:r>
    </w:p>
    <w:p>
      <w:pPr>
        <w:pStyle w:val="20"/>
        <w:widowControl/>
        <w:shd w:val="clear" w:color="auto" w:fill="FFFFFF"/>
        <w:spacing w:line="360" w:lineRule="auto"/>
        <w:ind w:left="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五、供应商应具备的特殊要求：无特殊要求。</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六、采购文件的获取</w:t>
      </w:r>
    </w:p>
    <w:p>
      <w:pPr>
        <w:pStyle w:val="20"/>
        <w:widowControl/>
        <w:shd w:val="clear" w:color="auto" w:fill="FFFFFF"/>
        <w:spacing w:line="360" w:lineRule="auto"/>
        <w:ind w:left="424" w:leftChars="202" w:firstLine="424" w:firstLineChars="202"/>
        <w:contextualSpacing/>
        <w:jc w:val="left"/>
        <w:rPr>
          <w:color w:val="000000"/>
          <w:sz w:val="21"/>
          <w:szCs w:val="21"/>
          <w:shd w:val="clear" w:color="auto" w:fill="FFFFFF"/>
        </w:rPr>
      </w:pPr>
      <w:r>
        <w:rPr>
          <w:rFonts w:hint="eastAsia"/>
          <w:color w:val="000000"/>
          <w:sz w:val="21"/>
          <w:szCs w:val="21"/>
          <w:shd w:val="clear" w:color="auto" w:fill="FFFFFF"/>
        </w:rPr>
        <w:t>即日起至投标截止时间，登录“许昌市公安局”网站</w:t>
      </w:r>
      <w:r>
        <w:rPr>
          <w:color w:val="000000"/>
          <w:sz w:val="21"/>
          <w:szCs w:val="21"/>
          <w:shd w:val="clear" w:color="auto" w:fill="FFFFFF"/>
        </w:rPr>
        <w:t xml:space="preserve">- </w:t>
      </w:r>
      <w:r>
        <w:rPr>
          <w:rFonts w:hint="eastAsia"/>
          <w:color w:val="000000"/>
          <w:sz w:val="21"/>
          <w:szCs w:val="21"/>
          <w:shd w:val="clear" w:color="auto" w:fill="FFFFFF"/>
        </w:rPr>
        <w:t>“公示公告”</w:t>
      </w:r>
      <w:r>
        <w:rPr>
          <w:color w:val="000000"/>
          <w:sz w:val="21"/>
          <w:szCs w:val="21"/>
          <w:shd w:val="clear" w:color="auto" w:fill="FFFFFF"/>
        </w:rPr>
        <w:t>栏</w:t>
      </w:r>
      <w:r>
        <w:rPr>
          <w:rFonts w:hint="eastAsia"/>
          <w:color w:val="000000"/>
          <w:sz w:val="21"/>
          <w:szCs w:val="21"/>
          <w:shd w:val="clear" w:color="auto" w:fill="FFFFFF"/>
        </w:rPr>
        <w:t>（</w:t>
      </w:r>
      <w:r>
        <w:rPr>
          <w:color w:val="000000" w:themeColor="text1"/>
          <w:sz w:val="21"/>
          <w:szCs w:val="21"/>
          <w:shd w:val="clear" w:color="auto" w:fill="FFFFFF"/>
        </w:rPr>
        <w:t>http://gaj.xuchang.gov.cn/gsgg/law.html</w:t>
      </w:r>
      <w:r>
        <w:rPr>
          <w:rFonts w:hint="eastAsia"/>
          <w:color w:val="000000"/>
          <w:sz w:val="21"/>
          <w:szCs w:val="21"/>
          <w:shd w:val="clear" w:color="auto" w:fill="FFFFFF"/>
        </w:rPr>
        <w:t>）自行免费下载</w:t>
      </w:r>
      <w:r>
        <w:rPr>
          <w:rFonts w:hint="eastAsia" w:cs="仿宋_GB2312" w:asciiTheme="minorEastAsia" w:hAnsiTheme="minorEastAsia" w:eastAsiaTheme="minorEastAsia"/>
          <w:color w:val="000000"/>
          <w:sz w:val="21"/>
          <w:szCs w:val="21"/>
          <w:shd w:val="clear" w:color="auto" w:fill="FFFFFF"/>
        </w:rPr>
        <w:t>竞争性谈判</w:t>
      </w:r>
      <w:r>
        <w:rPr>
          <w:rFonts w:hint="eastAsia"/>
          <w:color w:val="000000"/>
          <w:sz w:val="21"/>
          <w:szCs w:val="21"/>
          <w:shd w:val="clear" w:color="auto" w:fill="FFFFFF"/>
        </w:rPr>
        <w:t>文件。</w:t>
      </w:r>
    </w:p>
    <w:p>
      <w:pPr>
        <w:pStyle w:val="20"/>
        <w:widowControl/>
        <w:shd w:val="clear" w:color="auto" w:fill="FFFFFF"/>
        <w:spacing w:line="360" w:lineRule="auto"/>
        <w:ind w:left="420"/>
        <w:contextualSpacing/>
        <w:jc w:val="left"/>
        <w:rPr>
          <w:rFonts w:cs="仿宋_GB2312" w:asciiTheme="minorEastAsia" w:hAnsiTheme="minorEastAsia" w:eastAsiaTheme="minorEastAsia"/>
          <w:b/>
          <w:color w:val="000000"/>
          <w:sz w:val="21"/>
          <w:szCs w:val="21"/>
          <w:shd w:val="clear" w:color="auto" w:fill="FFFFFF"/>
        </w:rPr>
      </w:pPr>
      <w:r>
        <w:rPr>
          <w:rFonts w:hint="eastAsia" w:cs="仿宋_GB2312" w:asciiTheme="minorEastAsia" w:hAnsiTheme="minorEastAsia" w:eastAsiaTheme="minorEastAsia"/>
          <w:b/>
          <w:color w:val="000000"/>
          <w:sz w:val="21"/>
          <w:szCs w:val="21"/>
          <w:shd w:val="clear" w:color="auto" w:fill="FFFFFF"/>
        </w:rPr>
        <w:t>七、响应文件的提交方式及注意事项</w:t>
      </w:r>
    </w:p>
    <w:p>
      <w:pPr>
        <w:pStyle w:val="20"/>
        <w:widowControl/>
        <w:shd w:val="clear" w:color="auto" w:fill="FFFFFF"/>
        <w:spacing w:line="360" w:lineRule="auto"/>
        <w:ind w:left="424" w:leftChars="202" w:firstLine="424" w:firstLineChars="202"/>
        <w:contextualSpacing/>
        <w:jc w:val="left"/>
        <w:rPr>
          <w:color w:val="000000"/>
          <w:sz w:val="21"/>
          <w:szCs w:val="21"/>
          <w:shd w:val="clear" w:color="auto" w:fill="FFFFFF"/>
        </w:rPr>
      </w:pPr>
      <w:r>
        <w:rPr>
          <w:rFonts w:hint="eastAsia"/>
          <w:color w:val="000000"/>
          <w:sz w:val="21"/>
          <w:szCs w:val="21"/>
          <w:shd w:val="clear" w:color="auto" w:fill="FFFFFF"/>
        </w:rPr>
        <w:t>本项目为许昌市公安局组织采购，供应商须提供5份响应文件且密封完好，</w:t>
      </w:r>
      <w:r>
        <w:rPr>
          <w:color w:val="000000"/>
          <w:sz w:val="21"/>
          <w:szCs w:val="21"/>
          <w:shd w:val="clear" w:color="auto" w:fill="FFFFFF"/>
        </w:rPr>
        <w:t>投标</w:t>
      </w:r>
      <w:r>
        <w:rPr>
          <w:rFonts w:hint="eastAsia"/>
          <w:color w:val="000000"/>
          <w:sz w:val="21"/>
          <w:szCs w:val="21"/>
          <w:shd w:val="clear" w:color="auto" w:fill="FFFFFF"/>
        </w:rPr>
        <w:t>截止时间前签到提交。截至投标截止时间，供应商未完成签到提交的，投标将被拒绝。</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八、投标截止时间、开标时间及地点</w:t>
      </w:r>
    </w:p>
    <w:p>
      <w:pPr>
        <w:pStyle w:val="20"/>
        <w:widowControl/>
        <w:numPr>
          <w:ilvl w:val="0"/>
          <w:numId w:val="6"/>
        </w:numPr>
        <w:shd w:val="clear" w:color="auto" w:fill="FFFFFF"/>
        <w:spacing w:line="360" w:lineRule="auto"/>
        <w:contextualSpacing/>
        <w:jc w:val="left"/>
        <w:rPr>
          <w:rFonts w:cs="仿宋_GB2312" w:asciiTheme="minorEastAsia" w:hAnsiTheme="minorEastAsia" w:eastAsiaTheme="minorEastAsia"/>
          <w:color w:val="000000" w:themeColor="text1"/>
          <w:sz w:val="21"/>
          <w:szCs w:val="21"/>
          <w:shd w:val="clear" w:color="auto" w:fill="FFFFFF"/>
        </w:rPr>
      </w:pPr>
      <w:r>
        <w:rPr>
          <w:rFonts w:hint="eastAsia" w:cs="仿宋_GB2312" w:asciiTheme="minorEastAsia" w:hAnsiTheme="minorEastAsia" w:eastAsiaTheme="minorEastAsia"/>
          <w:color w:val="000000" w:themeColor="text1"/>
          <w:sz w:val="21"/>
          <w:szCs w:val="21"/>
          <w:shd w:val="clear" w:color="auto" w:fill="FFFFFF"/>
        </w:rPr>
        <w:t xml:space="preserve">投标截止及开标时间：2022年 </w:t>
      </w:r>
      <w:r>
        <w:rPr>
          <w:rFonts w:hint="eastAsia" w:cs="仿宋_GB2312" w:asciiTheme="minorEastAsia" w:hAnsiTheme="minorEastAsia" w:eastAsiaTheme="minorEastAsia"/>
          <w:color w:val="000000" w:themeColor="text1"/>
          <w:sz w:val="21"/>
          <w:szCs w:val="21"/>
          <w:shd w:val="clear" w:color="auto" w:fill="FFFFFF"/>
          <w:lang w:val="en-US" w:eastAsia="zh-CN"/>
        </w:rPr>
        <w:t>7</w:t>
      </w:r>
      <w:r>
        <w:rPr>
          <w:rFonts w:hint="eastAsia" w:cs="仿宋_GB2312" w:asciiTheme="minorEastAsia" w:hAnsiTheme="minorEastAsia" w:eastAsiaTheme="minorEastAsia"/>
          <w:color w:val="000000" w:themeColor="text1"/>
          <w:sz w:val="21"/>
          <w:szCs w:val="21"/>
          <w:shd w:val="clear" w:color="auto" w:fill="FFFFFF"/>
        </w:rPr>
        <w:t xml:space="preserve">  月  </w:t>
      </w:r>
      <w:r>
        <w:rPr>
          <w:rFonts w:hint="eastAsia" w:cs="仿宋_GB2312" w:asciiTheme="minorEastAsia" w:hAnsiTheme="minorEastAsia" w:eastAsiaTheme="minorEastAsia"/>
          <w:color w:val="000000" w:themeColor="text1"/>
          <w:sz w:val="21"/>
          <w:szCs w:val="21"/>
          <w:shd w:val="clear" w:color="auto" w:fill="FFFFFF"/>
          <w:lang w:val="en-US" w:eastAsia="zh-CN"/>
        </w:rPr>
        <w:t>14</w:t>
      </w:r>
      <w:r>
        <w:rPr>
          <w:rFonts w:hint="eastAsia" w:cs="仿宋_GB2312" w:asciiTheme="minorEastAsia" w:hAnsiTheme="minorEastAsia" w:eastAsiaTheme="minorEastAsia"/>
          <w:color w:val="000000" w:themeColor="text1"/>
          <w:sz w:val="21"/>
          <w:szCs w:val="21"/>
          <w:shd w:val="clear" w:color="auto" w:fill="FFFFFF"/>
        </w:rPr>
        <w:t xml:space="preserve">  日 </w:t>
      </w:r>
      <w:r>
        <w:rPr>
          <w:rFonts w:hint="eastAsia" w:cs="仿宋_GB2312" w:asciiTheme="minorEastAsia" w:hAnsiTheme="minorEastAsia" w:eastAsiaTheme="minorEastAsia"/>
          <w:color w:val="000000" w:themeColor="text1"/>
          <w:sz w:val="21"/>
          <w:szCs w:val="21"/>
          <w:shd w:val="clear" w:color="auto" w:fill="FFFFFF"/>
          <w:lang w:val="en-US" w:eastAsia="zh-CN"/>
        </w:rPr>
        <w:t>09</w:t>
      </w:r>
      <w:r>
        <w:rPr>
          <w:rFonts w:hint="eastAsia" w:cs="仿宋_GB2312" w:asciiTheme="minorEastAsia" w:hAnsiTheme="minorEastAsia" w:eastAsiaTheme="minorEastAsia"/>
          <w:color w:val="000000" w:themeColor="text1"/>
          <w:sz w:val="21"/>
          <w:szCs w:val="21"/>
          <w:shd w:val="clear" w:color="auto" w:fill="FFFFFF"/>
        </w:rPr>
        <w:t xml:space="preserve">时 </w:t>
      </w:r>
      <w:r>
        <w:rPr>
          <w:rFonts w:hint="eastAsia" w:cs="仿宋_GB2312" w:asciiTheme="minorEastAsia" w:hAnsiTheme="minorEastAsia" w:eastAsiaTheme="minorEastAsia"/>
          <w:color w:val="000000" w:themeColor="text1"/>
          <w:sz w:val="21"/>
          <w:szCs w:val="21"/>
          <w:shd w:val="clear" w:color="auto" w:fill="FFFFFF"/>
          <w:lang w:val="en-US" w:eastAsia="zh-CN"/>
        </w:rPr>
        <w:t>00</w:t>
      </w:r>
      <w:r>
        <w:rPr>
          <w:rFonts w:hint="eastAsia" w:cs="仿宋_GB2312" w:asciiTheme="minorEastAsia" w:hAnsiTheme="minorEastAsia" w:eastAsiaTheme="minorEastAsia"/>
          <w:color w:val="000000" w:themeColor="text1"/>
          <w:sz w:val="21"/>
          <w:szCs w:val="21"/>
          <w:shd w:val="clear" w:color="auto" w:fill="FFFFFF"/>
        </w:rPr>
        <w:t xml:space="preserve">  分（北京时间），逾期提交或不符合规定的响应文件不予接受。</w:t>
      </w:r>
    </w:p>
    <w:p>
      <w:pPr>
        <w:pStyle w:val="20"/>
        <w:widowControl/>
        <w:numPr>
          <w:ilvl w:val="0"/>
          <w:numId w:val="6"/>
        </w:numPr>
        <w:shd w:val="clear" w:color="auto" w:fill="FFFFFF"/>
        <w:spacing w:line="360" w:lineRule="auto"/>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rPr>
        <w:t>开标地点：许昌市公安局。</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九、本次采购公告在许昌市公安局官方网站（</w:t>
      </w:r>
      <w:r>
        <w:rPr>
          <w:rFonts w:cs="黑体" w:asciiTheme="minorEastAsia" w:hAnsiTheme="minorEastAsia" w:eastAsiaTheme="minorEastAsia"/>
          <w:b/>
          <w:bCs/>
          <w:color w:val="000000"/>
          <w:sz w:val="21"/>
          <w:szCs w:val="21"/>
          <w:shd w:val="clear" w:color="auto" w:fill="FFFFFF"/>
        </w:rPr>
        <w:t>http://gaj.xuchang.gov.cn</w:t>
      </w:r>
      <w:r>
        <w:rPr>
          <w:rFonts w:hint="eastAsia" w:cs="黑体" w:asciiTheme="minorEastAsia" w:hAnsiTheme="minorEastAsia" w:eastAsiaTheme="minorEastAsia"/>
          <w:b/>
          <w:bCs/>
          <w:color w:val="000000"/>
          <w:sz w:val="21"/>
          <w:szCs w:val="21"/>
          <w:shd w:val="clear" w:color="auto" w:fill="FFFFFF"/>
        </w:rPr>
        <w:t>）上发布。公告期限为自本公告发布之日起3个工作日。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十、联系方式</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采购人名称</w:t>
      </w:r>
      <w:r>
        <w:rPr>
          <w:rFonts w:hint="eastAsia" w:ascii="宋体" w:hAnsi="宋体"/>
          <w:szCs w:val="21"/>
        </w:rPr>
        <w:t>：许昌市公安局</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地址：许昌市许由西路166号</w:t>
      </w:r>
    </w:p>
    <w:p>
      <w:pPr>
        <w:adjustRightInd w:val="0"/>
        <w:spacing w:line="360" w:lineRule="auto"/>
        <w:ind w:firstLine="840" w:firstLineChars="400"/>
        <w:contextualSpacing/>
        <w:jc w:val="left"/>
        <w:rPr>
          <w:rFonts w:ascii="宋体" w:hAnsi="宋体"/>
          <w:szCs w:val="21"/>
        </w:rPr>
      </w:pPr>
      <w:r>
        <w:rPr>
          <w:rFonts w:hint="eastAsia" w:ascii="宋体" w:hAnsi="宋体"/>
          <w:szCs w:val="21"/>
        </w:rPr>
        <w:t>联系人：何女士                  联系电话：18637460097</w:t>
      </w: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spacing w:line="360" w:lineRule="auto"/>
        <w:rPr>
          <w:rFonts w:ascii="Calibri" w:hAnsi="宋体" w:eastAsia="宋体" w:cs="Times New Roman"/>
          <w:b/>
          <w:sz w:val="28"/>
          <w:szCs w:val="28"/>
        </w:rPr>
      </w:pPr>
      <w:r>
        <w:rPr>
          <w:rFonts w:hint="eastAsia" w:ascii="Calibri" w:hAnsi="宋体" w:eastAsia="宋体" w:cs="Times New Roman"/>
          <w:b/>
          <w:sz w:val="28"/>
          <w:szCs w:val="28"/>
        </w:rPr>
        <w:t>温馨提示：</w:t>
      </w:r>
    </w:p>
    <w:p>
      <w:pPr>
        <w:tabs>
          <w:tab w:val="left" w:pos="7095"/>
        </w:tabs>
        <w:spacing w:line="360" w:lineRule="auto"/>
        <w:ind w:left="567"/>
        <w:contextualSpacing/>
        <w:rPr>
          <w:rFonts w:asciiTheme="minorEastAsia" w:hAnsiTheme="minorEastAsia"/>
          <w:color w:val="000000"/>
          <w:szCs w:val="21"/>
        </w:rPr>
      </w:pPr>
      <w:r>
        <w:rPr>
          <w:rFonts w:asciiTheme="minorEastAsia" w:hAnsiTheme="minorEastAsia"/>
          <w:color w:val="000000"/>
          <w:szCs w:val="21"/>
        </w:rPr>
        <w:t>1.</w:t>
      </w:r>
      <w:r>
        <w:rPr>
          <w:rFonts w:hint="eastAsia" w:asciiTheme="minorEastAsia" w:hAnsiTheme="minorEastAsia"/>
          <w:color w:val="000000"/>
          <w:szCs w:val="21"/>
        </w:rPr>
        <w:t>评审期间，供应商（参加谈判的法定代表人或其授权代表）应保持通讯手机畅通，并根据谈判小组要求在规定时间内提供最后报价。</w:t>
      </w:r>
    </w:p>
    <w:p>
      <w:pPr>
        <w:tabs>
          <w:tab w:val="left" w:pos="7095"/>
        </w:tabs>
        <w:spacing w:line="360" w:lineRule="auto"/>
        <w:ind w:left="851"/>
        <w:contextualSpacing/>
        <w:rPr>
          <w:rFonts w:asciiTheme="minorEastAsia" w:hAnsiTheme="minorEastAsia"/>
          <w:color w:val="000000"/>
          <w:szCs w:val="21"/>
        </w:rPr>
      </w:pPr>
      <w:r>
        <w:rPr>
          <w:rFonts w:hint="eastAsia" w:asciiTheme="minorEastAsia" w:hAnsiTheme="minorEastAsia"/>
          <w:color w:val="000000"/>
          <w:szCs w:val="21"/>
        </w:rPr>
        <w:t>1.1最后报价：加盖公章，或者由法定代表人或其授权的代表签字；</w:t>
      </w:r>
    </w:p>
    <w:p>
      <w:pPr>
        <w:autoSpaceDE w:val="0"/>
        <w:autoSpaceDN w:val="0"/>
        <w:spacing w:line="360" w:lineRule="auto"/>
        <w:ind w:left="851"/>
        <w:contextualSpacing/>
        <w:rPr>
          <w:rFonts w:ascii="ˎ̥" w:hAnsi="ˎ̥"/>
        </w:rPr>
      </w:pPr>
      <w:r>
        <w:rPr>
          <w:rFonts w:hint="eastAsia" w:asciiTheme="minorEastAsia" w:hAnsiTheme="minorEastAsia"/>
          <w:color w:val="000000"/>
          <w:szCs w:val="21"/>
        </w:rPr>
        <w:t>1.</w:t>
      </w:r>
      <w:r>
        <w:rPr>
          <w:rFonts w:ascii="ˎ̥" w:hAnsi="ˎ̥"/>
        </w:rPr>
        <w:t>2</w:t>
      </w:r>
      <w:r>
        <w:rPr>
          <w:rFonts w:hint="eastAsia" w:ascii="ˎ̥" w:hAnsi="ˎ̥"/>
        </w:rPr>
        <w:t>提交方式：供应商按照要求填写书面材料，开标现场提交</w:t>
      </w:r>
      <w:r>
        <w:rPr>
          <w:rFonts w:hint="eastAsia" w:hAnsi="宋体"/>
          <w:color w:val="000000"/>
          <w:szCs w:val="21"/>
        </w:rPr>
        <w:t>进行最后报价</w:t>
      </w:r>
      <w:r>
        <w:rPr>
          <w:rFonts w:hint="eastAsia" w:ascii="ˎ̥" w:hAnsi="ˎ̥"/>
        </w:rPr>
        <w:t>。</w:t>
      </w:r>
    </w:p>
    <w:p>
      <w:pPr>
        <w:autoSpaceDE w:val="0"/>
        <w:autoSpaceDN w:val="0"/>
        <w:spacing w:line="360" w:lineRule="auto"/>
        <w:ind w:left="851" w:right="-11"/>
        <w:contextualSpacing/>
        <w:rPr>
          <w:rFonts w:asciiTheme="minorEastAsia" w:hAnsiTheme="minorEastAsia"/>
          <w:color w:val="000000"/>
          <w:szCs w:val="21"/>
        </w:rPr>
      </w:pPr>
      <w:r>
        <w:rPr>
          <w:rFonts w:hint="eastAsia" w:ascii="楷体" w:hAnsi="楷体" w:eastAsia="楷体" w:cs="仿宋_GB2312"/>
          <w:sz w:val="24"/>
          <w:szCs w:val="24"/>
          <w:lang w:val="zh-CN"/>
        </w:rPr>
        <w:t>注：</w:t>
      </w:r>
      <w:r>
        <w:rPr>
          <w:rFonts w:hint="eastAsia" w:ascii="楷体" w:hAnsi="楷体" w:eastAsia="楷体"/>
          <w:color w:val="000000"/>
          <w:sz w:val="24"/>
          <w:szCs w:val="24"/>
        </w:rPr>
        <w:t>谈判小组要求供应商提交最后报价时，</w:t>
      </w:r>
      <w:r>
        <w:rPr>
          <w:rFonts w:hint="eastAsia" w:ascii="楷体" w:hAnsi="楷体" w:eastAsia="楷体" w:cs="仿宋_GB2312"/>
          <w:sz w:val="24"/>
          <w:szCs w:val="24"/>
          <w:lang w:val="zh-CN"/>
        </w:rPr>
        <w:t>在谈判小组规定时间内，供应商未提交最后报价则以其初次提交响应文件报价为最后报价。</w:t>
      </w:r>
    </w:p>
    <w:p>
      <w:pPr>
        <w:tabs>
          <w:tab w:val="left" w:pos="7095"/>
        </w:tabs>
        <w:spacing w:line="360" w:lineRule="auto"/>
        <w:ind w:left="1275" w:leftChars="405" w:hanging="425"/>
        <w:contextualSpacing/>
        <w:rPr>
          <w:rFonts w:asciiTheme="minorEastAsia" w:hAnsiTheme="minorEastAsia"/>
          <w:color w:val="000000"/>
          <w:szCs w:val="21"/>
        </w:rPr>
      </w:pPr>
    </w:p>
    <w:p>
      <w:pPr>
        <w:tabs>
          <w:tab w:val="left" w:pos="7095"/>
        </w:tabs>
        <w:spacing w:line="360" w:lineRule="auto"/>
        <w:ind w:left="567"/>
        <w:contextualSpacing/>
        <w:rPr>
          <w:rFonts w:asciiTheme="minorEastAsia" w:hAnsiTheme="minorEastAsia"/>
          <w:color w:val="000000"/>
          <w:szCs w:val="21"/>
        </w:rPr>
      </w:pPr>
      <w:r>
        <w:rPr>
          <w:rFonts w:asciiTheme="minorEastAsia" w:hAnsiTheme="minorEastAsia"/>
          <w:color w:val="000000"/>
          <w:szCs w:val="21"/>
        </w:rPr>
        <w:t>2.</w:t>
      </w:r>
      <w:r>
        <w:rPr>
          <w:rFonts w:hint="eastAsia" w:asciiTheme="minorEastAsia" w:hAnsiTheme="minorEastAsia"/>
          <w:color w:val="000000"/>
          <w:szCs w:val="21"/>
        </w:rPr>
        <w:t>如因供应商（参加谈判的法定代表人或其授权代表）未按照本项目谈判文件第八章“响应文件有关格式”二“报价一览表”要求，在响应文件中未预留手机号码或因供应商自身原因导致谈判小组无法联系供应商参加谈判（最后报价）的，其风险由供应商自行承担，采购人不承担任何责任。</w:t>
      </w:r>
    </w:p>
    <w:p>
      <w:pPr>
        <w:tabs>
          <w:tab w:val="left" w:pos="7095"/>
        </w:tabs>
        <w:spacing w:line="360" w:lineRule="auto"/>
        <w:ind w:left="1260"/>
        <w:contextualSpacing/>
        <w:rPr>
          <w:rFonts w:asciiTheme="minorEastAsia" w:hAnsiTheme="minorEastAsia"/>
          <w:color w:val="000000"/>
          <w:szCs w:val="21"/>
        </w:rPr>
      </w:pPr>
    </w:p>
    <w:p>
      <w:pPr>
        <w:tabs>
          <w:tab w:val="left" w:pos="7095"/>
        </w:tabs>
        <w:spacing w:line="360" w:lineRule="auto"/>
        <w:ind w:firstLine="420" w:firstLineChars="200"/>
        <w:contextualSpacing/>
        <w:rPr>
          <w:rFonts w:asciiTheme="minorEastAsia" w:hAnsiTheme="minorEastAsia"/>
          <w:color w:val="000000"/>
          <w:szCs w:val="21"/>
        </w:rPr>
      </w:pPr>
    </w:p>
    <w:p>
      <w:pPr>
        <w:adjustRightInd w:val="0"/>
        <w:snapToGrid w:val="0"/>
        <w:spacing w:line="360" w:lineRule="auto"/>
        <w:jc w:val="left"/>
        <w:rPr>
          <w:rFonts w:ascii="宋体" w:hAnsi="宋体"/>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一、本项目需实现的功能或者目标</w:t>
      </w:r>
    </w:p>
    <w:p>
      <w:pPr>
        <w:pStyle w:val="60"/>
        <w:spacing w:before="156" w:after="156"/>
        <w:ind w:left="482" w:firstLine="0" w:firstLineChars="0"/>
        <w:outlineLvl w:val="0"/>
        <w:rPr>
          <w:rFonts w:ascii="宋体" w:hAnsi="宋体"/>
          <w:b/>
          <w:szCs w:val="21"/>
        </w:rPr>
      </w:pPr>
      <w:r>
        <w:rPr>
          <w:rFonts w:hint="eastAsia" w:ascii="宋体" w:hAnsi="宋体"/>
          <w:b/>
          <w:szCs w:val="21"/>
        </w:rPr>
        <w:t>1.</w:t>
      </w:r>
      <w:r>
        <w:rPr>
          <w:rFonts w:ascii="宋体" w:hAnsi="宋体"/>
          <w:b/>
          <w:szCs w:val="21"/>
        </w:rPr>
        <w:t>项目概况</w:t>
      </w:r>
    </w:p>
    <w:p>
      <w:pPr>
        <w:pStyle w:val="60"/>
        <w:spacing w:before="156" w:after="156"/>
        <w:rPr>
          <w:rFonts w:ascii="宋体" w:hAnsi="宋体"/>
          <w:szCs w:val="21"/>
        </w:rPr>
      </w:pPr>
      <w:r>
        <w:rPr>
          <w:rFonts w:hint="eastAsia" w:ascii="宋体" w:hAnsi="宋体"/>
          <w:szCs w:val="21"/>
        </w:rPr>
        <w:t>许昌市公安局情报平台（二期）软件系统质保期已到，为继续有效保障情报实战业务工作顺利开展，保障平台</w:t>
      </w:r>
      <w:r>
        <w:rPr>
          <w:rFonts w:ascii="宋体" w:hAnsi="宋体"/>
          <w:szCs w:val="21"/>
        </w:rPr>
        <w:t>稳定运行可持续发挥效益</w:t>
      </w:r>
      <w:r>
        <w:rPr>
          <w:rFonts w:hint="eastAsia" w:ascii="宋体" w:hAnsi="宋体"/>
          <w:szCs w:val="21"/>
        </w:rPr>
        <w:t>，需要全面、专业的运维服务保障。</w:t>
      </w:r>
    </w:p>
    <w:p>
      <w:pPr>
        <w:pStyle w:val="60"/>
        <w:spacing w:before="156" w:after="156"/>
        <w:ind w:left="426" w:firstLine="0" w:firstLineChars="0"/>
        <w:outlineLvl w:val="0"/>
        <w:rPr>
          <w:rFonts w:ascii="宋体" w:hAnsi="宋体"/>
          <w:b/>
          <w:szCs w:val="21"/>
        </w:rPr>
      </w:pPr>
      <w:bookmarkStart w:id="1" w:name="_Toc29924"/>
      <w:r>
        <w:rPr>
          <w:rFonts w:ascii="宋体" w:hAnsi="宋体"/>
          <w:b/>
          <w:szCs w:val="21"/>
        </w:rPr>
        <w:t>2.运维</w:t>
      </w:r>
      <w:bookmarkEnd w:id="1"/>
      <w:r>
        <w:rPr>
          <w:rFonts w:ascii="宋体" w:hAnsi="宋体"/>
          <w:b/>
          <w:szCs w:val="21"/>
        </w:rPr>
        <w:t>需求</w:t>
      </w:r>
    </w:p>
    <w:p>
      <w:pPr>
        <w:pStyle w:val="60"/>
        <w:spacing w:before="156" w:after="156"/>
      </w:pPr>
      <w:r>
        <w:rPr>
          <w:rFonts w:hint="eastAsia"/>
        </w:rPr>
        <w:t>平台业务系统较多，累积的业务数据量也越来越大，每日需专人保障平台相关软系统日常运行维护工作，具体运维需求如下：</w:t>
      </w:r>
    </w:p>
    <w:p>
      <w:pPr>
        <w:pStyle w:val="60"/>
        <w:spacing w:before="156" w:after="156"/>
      </w:pPr>
      <w:bookmarkStart w:id="2" w:name="_Toc4421"/>
      <w:r>
        <w:t>2.1</w:t>
      </w:r>
      <w:r>
        <w:rPr>
          <w:rFonts w:hint="eastAsia"/>
        </w:rPr>
        <w:t>软件维护</w:t>
      </w:r>
      <w:r>
        <w:t>内容</w:t>
      </w:r>
      <w:bookmarkEnd w:id="2"/>
    </w:p>
    <w:p>
      <w:pPr>
        <w:pStyle w:val="60"/>
        <w:spacing w:before="156" w:after="156"/>
      </w:pPr>
      <w:r>
        <w:rPr>
          <w:rFonts w:hint="eastAsia"/>
        </w:rPr>
        <w:t>QB平台运维内容包含：重点人员动态管控子系统、重大事件预警防范子系统、平台门户及管理子系统、综合应用专题库等。将通过高质量的维保运维服务，提升省厅QB平台正常运行率，降低故障对日常业务的影响。维护服务厂商通过对运维服务的综合管理，全面地掌握系统的运行情况，能够以更加先进丰富的维护管理手段，保障系统的稳定运行，充分满足日常各类服务。具体包括以下软件系统的维护。</w:t>
      </w:r>
    </w:p>
    <w:p>
      <w:pPr>
        <w:pStyle w:val="60"/>
        <w:spacing w:before="156" w:after="156"/>
      </w:pPr>
      <w:bookmarkStart w:id="3" w:name="_Toc461138866"/>
      <w:bookmarkStart w:id="4" w:name="_Toc13285"/>
      <w:bookmarkStart w:id="5" w:name="_Toc461138859"/>
      <w:r>
        <w:rPr>
          <w:rFonts w:hint="eastAsia"/>
        </w:rPr>
        <w:t>（1）重点人员动态管控子系统</w:t>
      </w:r>
      <w:bookmarkEnd w:id="3"/>
      <w:r>
        <w:rPr>
          <w:rFonts w:hint="eastAsia"/>
        </w:rPr>
        <w:t>维护</w:t>
      </w:r>
      <w:bookmarkEnd w:id="4"/>
    </w:p>
    <w:p>
      <w:pPr>
        <w:spacing w:before="163" w:after="163"/>
        <w:ind w:firstLine="420" w:firstLineChars="200"/>
      </w:pPr>
      <w:r>
        <w:rPr>
          <w:rFonts w:hint="eastAsia" w:ascii="宋体" w:hAnsi="宋体"/>
        </w:rPr>
        <w:t>重点人员管控是情报平台核心业务之一，有效支撑</w:t>
      </w:r>
      <w:r>
        <w:rPr>
          <w:rFonts w:hint="eastAsia"/>
        </w:rPr>
        <w:t>各类重点人员一体化动态管控的工作需要。详细维护模块内容如下：</w:t>
      </w:r>
    </w:p>
    <w:p>
      <w:pPr>
        <w:pStyle w:val="59"/>
        <w:spacing w:before="156" w:after="156"/>
      </w:pPr>
      <w:bookmarkStart w:id="6" w:name="_Toc459761502"/>
      <w:bookmarkStart w:id="7" w:name="_Toc461138867"/>
      <w:r>
        <w:t>动态管控系统</w:t>
      </w:r>
      <w:r>
        <w:rPr>
          <w:rFonts w:hint="eastAsia"/>
        </w:rPr>
        <w:t>子</w:t>
      </w:r>
      <w:r>
        <w:t>门户</w:t>
      </w:r>
      <w:bookmarkEnd w:id="6"/>
      <w:bookmarkEnd w:id="7"/>
      <w:r>
        <w:rPr>
          <w:rFonts w:hint="eastAsia"/>
        </w:rPr>
        <w:t>：具体维护内容</w:t>
      </w:r>
      <w:r>
        <w:t>包括</w:t>
      </w:r>
      <w:r>
        <w:rPr>
          <w:rFonts w:hint="eastAsia"/>
        </w:rPr>
        <w:t>模块</w:t>
      </w:r>
      <w:r>
        <w:t>导航</w:t>
      </w:r>
      <w:r>
        <w:rPr>
          <w:rFonts w:hint="eastAsia"/>
        </w:rPr>
        <w:t>，战果发布，统计图表的维护。</w:t>
      </w:r>
    </w:p>
    <w:p>
      <w:pPr>
        <w:pStyle w:val="59"/>
        <w:spacing w:before="156" w:after="156"/>
      </w:pPr>
      <w:bookmarkStart w:id="8" w:name="_Toc459761503"/>
      <w:bookmarkStart w:id="9" w:name="_Toc453494027"/>
      <w:bookmarkStart w:id="10" w:name="_Toc461138868"/>
      <w:r>
        <w:rPr>
          <w:rFonts w:hint="eastAsia"/>
        </w:rPr>
        <w:t>常规管控</w:t>
      </w:r>
      <w:bookmarkEnd w:id="8"/>
      <w:bookmarkEnd w:id="9"/>
      <w:bookmarkEnd w:id="10"/>
      <w:r>
        <w:rPr>
          <w:rFonts w:hint="eastAsia"/>
        </w:rPr>
        <w:t>：具体维护内容人员管理，比中信息，四色预警，指令下</w:t>
      </w:r>
      <w:r>
        <w:t>发</w:t>
      </w:r>
      <w:r>
        <w:rPr>
          <w:rFonts w:hint="eastAsia"/>
        </w:rPr>
        <w:t>，签收反馈，在控管理，模型管理。</w:t>
      </w:r>
    </w:p>
    <w:p>
      <w:pPr>
        <w:pStyle w:val="59"/>
        <w:spacing w:before="156" w:after="156"/>
        <w:rPr>
          <w:rFonts w:ascii="宋体" w:hAnsi="宋体"/>
        </w:rPr>
      </w:pPr>
      <w:bookmarkStart w:id="11" w:name="_Toc453494029"/>
      <w:bookmarkStart w:id="12" w:name="_Toc459761505"/>
      <w:bookmarkStart w:id="13" w:name="_Toc461138870"/>
      <w:r>
        <w:rPr>
          <w:rFonts w:hint="eastAsia"/>
        </w:rPr>
        <w:t>人员临控</w:t>
      </w:r>
      <w:bookmarkEnd w:id="11"/>
      <w:bookmarkEnd w:id="12"/>
      <w:bookmarkEnd w:id="13"/>
      <w:r>
        <w:rPr>
          <w:rFonts w:hint="eastAsia"/>
        </w:rPr>
        <w:t>：具体维护内容包括</w:t>
      </w:r>
      <w:r>
        <w:rPr>
          <w:rFonts w:hint="eastAsia" w:ascii="宋体" w:hAnsi="宋体"/>
        </w:rPr>
        <w:t>包含临控的申请、审批、查询、比对、预警、流转等功能。</w:t>
      </w:r>
    </w:p>
    <w:p>
      <w:pPr>
        <w:pStyle w:val="59"/>
        <w:spacing w:before="156" w:after="156"/>
        <w:rPr>
          <w:rFonts w:ascii="宋体" w:hAnsi="宋体"/>
        </w:rPr>
      </w:pPr>
      <w:bookmarkStart w:id="14" w:name="_Toc461138871"/>
      <w:bookmarkStart w:id="15" w:name="_Toc459761506"/>
      <w:bookmarkStart w:id="16" w:name="_Toc453494030"/>
      <w:r>
        <w:rPr>
          <w:rFonts w:hint="eastAsia"/>
        </w:rPr>
        <w:t>电子档案</w:t>
      </w:r>
      <w:bookmarkEnd w:id="14"/>
      <w:bookmarkEnd w:id="15"/>
      <w:bookmarkEnd w:id="16"/>
      <w:r>
        <w:rPr>
          <w:rFonts w:hint="eastAsia"/>
        </w:rPr>
        <w:t>：主要维护内容</w:t>
      </w:r>
      <w:r>
        <w:rPr>
          <w:rFonts w:hint="eastAsia" w:ascii="宋体" w:hAnsi="宋体"/>
        </w:rPr>
        <w:t>关注人员的</w:t>
      </w:r>
      <w:r>
        <w:rPr>
          <w:rFonts w:ascii="宋体" w:hAnsi="宋体"/>
        </w:rPr>
        <w:t>活动轨迹、背景信息、研判过程等</w:t>
      </w:r>
      <w:r>
        <w:rPr>
          <w:rFonts w:hint="eastAsia" w:ascii="宋体" w:hAnsi="宋体"/>
        </w:rPr>
        <w:t>。包含基本</w:t>
      </w:r>
      <w:r>
        <w:rPr>
          <w:rFonts w:hint="eastAsia"/>
        </w:rPr>
        <w:t>信息</w:t>
      </w:r>
      <w:r>
        <w:rPr>
          <w:rFonts w:hint="eastAsia" w:ascii="宋体" w:hAnsi="宋体"/>
        </w:rPr>
        <w:t>、背景信息、轨迹信息、管控信息、关系信息等内容修改、补充、标注等维护功能。</w:t>
      </w:r>
    </w:p>
    <w:p>
      <w:pPr>
        <w:pStyle w:val="59"/>
        <w:spacing w:before="156" w:after="156"/>
        <w:rPr>
          <w:rFonts w:ascii="宋体" w:hAnsi="宋体"/>
        </w:rPr>
      </w:pPr>
      <w:bookmarkStart w:id="17" w:name="_Toc453143315"/>
      <w:bookmarkStart w:id="18" w:name="_Toc23316"/>
      <w:bookmarkStart w:id="19" w:name="_Toc461138872"/>
      <w:bookmarkStart w:id="20" w:name="_Toc459761507"/>
      <w:r>
        <w:rPr>
          <w:rFonts w:hint="eastAsia"/>
        </w:rPr>
        <w:t>统计分析</w:t>
      </w:r>
      <w:bookmarkEnd w:id="17"/>
      <w:bookmarkEnd w:id="18"/>
      <w:bookmarkEnd w:id="19"/>
      <w:bookmarkEnd w:id="20"/>
      <w:r>
        <w:rPr>
          <w:rFonts w:hint="eastAsia"/>
        </w:rPr>
        <w:t>：主要维护内容</w:t>
      </w:r>
      <w:r>
        <w:rPr>
          <w:rFonts w:hint="eastAsia" w:ascii="宋体" w:hAnsi="宋体"/>
        </w:rPr>
        <w:t>包括多维统计分析、分析展现、高危行业预警分析、</w:t>
      </w:r>
      <w:r>
        <w:rPr>
          <w:rFonts w:hint="eastAsia"/>
        </w:rPr>
        <w:t>活动</w:t>
      </w:r>
      <w:r>
        <w:rPr>
          <w:rFonts w:hint="eastAsia" w:ascii="宋体" w:hAnsi="宋体"/>
        </w:rPr>
        <w:t>轨迹、作案团伙分析、分布态势分析等。</w:t>
      </w:r>
    </w:p>
    <w:p>
      <w:pPr>
        <w:pStyle w:val="60"/>
        <w:spacing w:before="156" w:after="156"/>
      </w:pPr>
      <w:bookmarkStart w:id="21" w:name="_Toc459761508"/>
      <w:bookmarkEnd w:id="21"/>
      <w:bookmarkStart w:id="22" w:name="_Toc454808951"/>
      <w:bookmarkEnd w:id="22"/>
      <w:bookmarkStart w:id="23" w:name="_Toc454789143"/>
      <w:bookmarkEnd w:id="23"/>
      <w:bookmarkStart w:id="24" w:name="_Toc461138873"/>
      <w:bookmarkStart w:id="25" w:name="_Toc459761515"/>
      <w:bookmarkStart w:id="26" w:name="_Toc27882"/>
      <w:r>
        <w:rPr>
          <w:rFonts w:hint="eastAsia"/>
        </w:rPr>
        <w:t>（2）重大事预警防范子系统</w:t>
      </w:r>
      <w:bookmarkEnd w:id="24"/>
      <w:bookmarkEnd w:id="25"/>
      <w:r>
        <w:rPr>
          <w:rFonts w:hint="eastAsia"/>
        </w:rPr>
        <w:t>维护</w:t>
      </w:r>
      <w:bookmarkEnd w:id="26"/>
    </w:p>
    <w:p>
      <w:pPr>
        <w:spacing w:before="163" w:after="163"/>
        <w:ind w:firstLine="420" w:firstLineChars="200"/>
        <w:rPr>
          <w:rFonts w:ascii="宋体" w:hAnsi="宋体"/>
        </w:rPr>
      </w:pPr>
      <w:r>
        <w:rPr>
          <w:rFonts w:hint="eastAsia" w:ascii="宋体" w:hAnsi="宋体"/>
        </w:rPr>
        <w:t>重大事预警防范子系统通过从群体、人员、线索的海量汇聚，经过分析研判，实现对影响社会稳定的有效的预警，并通过门户网站发布或通过交换发送给相应地方和部门，达到防范在先的工作目的。详细维护内容如下：</w:t>
      </w:r>
    </w:p>
    <w:p>
      <w:pPr>
        <w:pStyle w:val="59"/>
        <w:spacing w:before="156" w:after="156"/>
      </w:pPr>
      <w:bookmarkStart w:id="27" w:name="_Toc461138874"/>
      <w:bookmarkStart w:id="28" w:name="_Toc453494036"/>
      <w:bookmarkStart w:id="29" w:name="_Toc459761519"/>
      <w:r>
        <w:t>预警防范系统</w:t>
      </w:r>
      <w:r>
        <w:rPr>
          <w:rFonts w:hint="eastAsia"/>
        </w:rPr>
        <w:t>子</w:t>
      </w:r>
      <w:r>
        <w:t>门户</w:t>
      </w:r>
      <w:bookmarkEnd w:id="27"/>
      <w:bookmarkEnd w:id="28"/>
      <w:bookmarkEnd w:id="29"/>
      <w:r>
        <w:rPr>
          <w:rFonts w:hint="eastAsia"/>
        </w:rPr>
        <w:t>：</w:t>
      </w:r>
      <w:r>
        <w:t>具体维护内容包括</w:t>
      </w:r>
      <w:r>
        <w:rPr>
          <w:rFonts w:hint="eastAsia"/>
        </w:rPr>
        <w:t>信息发布、统计报表等；</w:t>
      </w:r>
    </w:p>
    <w:p>
      <w:pPr>
        <w:pStyle w:val="59"/>
        <w:spacing w:before="156" w:after="156"/>
      </w:pPr>
      <w:bookmarkStart w:id="30" w:name="_Toc459761520"/>
      <w:bookmarkStart w:id="31" w:name="_Toc461138875"/>
      <w:bookmarkStart w:id="32" w:name="_Toc453494037"/>
      <w:r>
        <w:rPr>
          <w:rFonts w:hint="eastAsia"/>
        </w:rPr>
        <w:t>涉事群体管理</w:t>
      </w:r>
      <w:bookmarkEnd w:id="30"/>
      <w:bookmarkEnd w:id="31"/>
      <w:bookmarkEnd w:id="32"/>
      <w:r>
        <w:rPr>
          <w:rFonts w:hint="eastAsia"/>
        </w:rPr>
        <w:t>：</w:t>
      </w:r>
      <w:r>
        <w:t>具体维护模块包括</w:t>
      </w:r>
      <w:r>
        <w:rPr>
          <w:rFonts w:hint="eastAsia"/>
        </w:rPr>
        <w:t>群</w:t>
      </w:r>
      <w:r>
        <w:t>体管理</w:t>
      </w:r>
      <w:r>
        <w:rPr>
          <w:rFonts w:hint="eastAsia"/>
        </w:rPr>
        <w:t>、群体成员管理、群体相关事件管理</w:t>
      </w:r>
      <w:bookmarkStart w:id="33" w:name="_Toc453494040"/>
      <w:bookmarkStart w:id="34" w:name="_Toc461138879"/>
      <w:bookmarkStart w:id="35" w:name="_Toc459761524"/>
      <w:r>
        <w:rPr>
          <w:rFonts w:hint="eastAsia"/>
        </w:rPr>
        <w:t>、涉事人员异动预警</w:t>
      </w:r>
      <w:bookmarkEnd w:id="33"/>
      <w:bookmarkEnd w:id="34"/>
      <w:bookmarkEnd w:id="35"/>
      <w:r>
        <w:rPr>
          <w:rFonts w:hint="eastAsia"/>
        </w:rPr>
        <w:t>等。</w:t>
      </w:r>
    </w:p>
    <w:p>
      <w:pPr>
        <w:pStyle w:val="59"/>
        <w:spacing w:before="156" w:after="156"/>
        <w:rPr>
          <w:rFonts w:ascii="宋体" w:hAnsi="宋体"/>
        </w:rPr>
      </w:pPr>
      <w:bookmarkStart w:id="36" w:name="_Toc461138877"/>
      <w:bookmarkStart w:id="37" w:name="_Toc459761522"/>
      <w:bookmarkStart w:id="38" w:name="_Toc333231718"/>
      <w:bookmarkStart w:id="39" w:name="_Toc331173679"/>
      <w:bookmarkStart w:id="40" w:name="_Toc453494039"/>
      <w:r>
        <w:rPr>
          <w:rFonts w:hint="eastAsia"/>
        </w:rPr>
        <w:t>常规监测管理</w:t>
      </w:r>
      <w:bookmarkEnd w:id="36"/>
      <w:bookmarkEnd w:id="37"/>
      <w:r>
        <w:rPr>
          <w:rFonts w:hint="eastAsia"/>
        </w:rPr>
        <w:t>：</w:t>
      </w:r>
      <w:r>
        <w:t>具体维护模块包括</w:t>
      </w:r>
      <w:r>
        <w:rPr>
          <w:rFonts w:hint="eastAsia" w:ascii="宋体" w:hAnsi="宋体"/>
        </w:rPr>
        <w:t>接收部级平台下发数据，保持同步，实现自动推送给管理单位的功能。</w:t>
      </w:r>
    </w:p>
    <w:p>
      <w:pPr>
        <w:pStyle w:val="59"/>
        <w:spacing w:before="156" w:after="156"/>
      </w:pPr>
      <w:bookmarkStart w:id="41" w:name="_Toc459761523"/>
      <w:bookmarkStart w:id="42" w:name="_Toc461138878"/>
      <w:r>
        <w:rPr>
          <w:rFonts w:hint="eastAsia"/>
        </w:rPr>
        <w:t>临时监测管理</w:t>
      </w:r>
      <w:bookmarkEnd w:id="38"/>
      <w:bookmarkEnd w:id="39"/>
      <w:bookmarkEnd w:id="40"/>
      <w:bookmarkEnd w:id="41"/>
      <w:bookmarkEnd w:id="42"/>
      <w:r>
        <w:rPr>
          <w:rFonts w:hint="eastAsia"/>
        </w:rPr>
        <w:t>：</w:t>
      </w:r>
      <w:r>
        <w:t>具体维护模块包括</w:t>
      </w:r>
      <w:r>
        <w:rPr>
          <w:rFonts w:hint="eastAsia"/>
        </w:rPr>
        <w:t>实现具有操作、管理权限的用户对单一或批量特定对象实施跨省或全国临时监测申请、审批、发起并将比中信息自动推送给申请单位的功能。</w:t>
      </w:r>
    </w:p>
    <w:p>
      <w:pPr>
        <w:pStyle w:val="59"/>
        <w:spacing w:before="156" w:after="156"/>
      </w:pPr>
      <w:bookmarkStart w:id="43" w:name="_Toc461138880"/>
      <w:bookmarkStart w:id="44" w:name="_Toc459761525"/>
      <w:r>
        <w:rPr>
          <w:rFonts w:hint="eastAsia"/>
        </w:rPr>
        <w:t>线索信息管理</w:t>
      </w:r>
      <w:bookmarkEnd w:id="43"/>
      <w:bookmarkEnd w:id="44"/>
      <w:r>
        <w:rPr>
          <w:rFonts w:hint="eastAsia"/>
        </w:rPr>
        <w:t>：</w:t>
      </w:r>
      <w:r>
        <w:t>具体维护模块包括</w:t>
      </w:r>
      <w:r>
        <w:rPr>
          <w:rFonts w:hint="eastAsia"/>
        </w:rPr>
        <w:t>信息处理专题库、线索录入模块、预处理模型管理</w:t>
      </w:r>
      <w:bookmarkStart w:id="45" w:name="_Toc459761527"/>
      <w:bookmarkStart w:id="46" w:name="_Toc461138882"/>
      <w:r>
        <w:rPr>
          <w:rFonts w:hint="eastAsia"/>
        </w:rPr>
        <w:t>模块。</w:t>
      </w:r>
    </w:p>
    <w:p>
      <w:pPr>
        <w:pStyle w:val="59"/>
        <w:spacing w:before="156" w:after="156"/>
      </w:pPr>
      <w:r>
        <w:rPr>
          <w:rFonts w:hint="eastAsia"/>
        </w:rPr>
        <w:t>统计分析</w:t>
      </w:r>
      <w:bookmarkEnd w:id="45"/>
      <w:bookmarkEnd w:id="46"/>
      <w:r>
        <w:rPr>
          <w:rFonts w:hint="eastAsia"/>
        </w:rPr>
        <w:t>：</w:t>
      </w:r>
      <w:r>
        <w:t>具体维护内容包括</w:t>
      </w:r>
      <w:r>
        <w:rPr>
          <w:rFonts w:hint="eastAsia"/>
        </w:rPr>
        <w:t>基本信息统计、人工采集信息统计、日常数据导入统计、考核类统计报表、数据分析类统计报表。</w:t>
      </w:r>
    </w:p>
    <w:bookmarkEnd w:id="5"/>
    <w:p>
      <w:pPr>
        <w:pStyle w:val="60"/>
        <w:spacing w:before="156" w:after="156"/>
      </w:pPr>
      <w:bookmarkStart w:id="47" w:name="_Toc461138930"/>
      <w:bookmarkStart w:id="48" w:name="_Toc459761601"/>
      <w:bookmarkStart w:id="49" w:name="_Toc17236"/>
      <w:bookmarkStart w:id="50" w:name="_Toc452749198"/>
      <w:bookmarkStart w:id="51" w:name="_Toc452750941"/>
      <w:bookmarkStart w:id="52" w:name="_Toc453494041"/>
      <w:r>
        <w:rPr>
          <w:rFonts w:hint="eastAsia"/>
        </w:rPr>
        <w:t>（</w:t>
      </w:r>
      <w:r>
        <w:t>3</w:t>
      </w:r>
      <w:r>
        <w:rPr>
          <w:rFonts w:hint="eastAsia"/>
        </w:rPr>
        <w:t>）平台门户</w:t>
      </w:r>
      <w:bookmarkEnd w:id="47"/>
      <w:bookmarkEnd w:id="48"/>
      <w:r>
        <w:rPr>
          <w:rFonts w:hint="eastAsia"/>
        </w:rPr>
        <w:t>维护</w:t>
      </w:r>
      <w:bookmarkEnd w:id="49"/>
    </w:p>
    <w:p>
      <w:pPr>
        <w:spacing w:before="163" w:after="163"/>
        <w:ind w:firstLine="420" w:firstLineChars="200"/>
        <w:rPr>
          <w:rFonts w:ascii="宋体" w:hAnsi="宋体"/>
        </w:rPr>
      </w:pPr>
      <w:r>
        <w:rPr>
          <w:rFonts w:hint="eastAsia"/>
        </w:rPr>
        <w:t>主要实现</w:t>
      </w:r>
      <w:r>
        <w:rPr>
          <w:rFonts w:hint="eastAsia" w:ascii="宋体" w:hAnsi="宋体"/>
        </w:rPr>
        <w:t>待办事项、预警信息、轨迹信息签收、反馈或查看等操作功能的维护和保障，为</w:t>
      </w:r>
      <w:r>
        <w:rPr>
          <w:rFonts w:ascii="宋体" w:hAnsi="宋体"/>
        </w:rPr>
        <w:t>全省基</w:t>
      </w:r>
      <w:r>
        <w:rPr>
          <w:rFonts w:hint="eastAsia" w:ascii="宋体" w:hAnsi="宋体"/>
        </w:rPr>
        <w:t>层</w:t>
      </w:r>
      <w:r>
        <w:rPr>
          <w:rFonts w:ascii="宋体" w:hAnsi="宋体"/>
        </w:rPr>
        <w:t>民警</w:t>
      </w:r>
      <w:r>
        <w:rPr>
          <w:rFonts w:hint="eastAsia" w:ascii="宋体" w:hAnsi="宋体"/>
        </w:rPr>
        <w:t>提供待</w:t>
      </w:r>
      <w:r>
        <w:rPr>
          <w:rFonts w:ascii="宋体" w:hAnsi="宋体"/>
        </w:rPr>
        <w:t>办事项、</w:t>
      </w:r>
      <w:r>
        <w:rPr>
          <w:rFonts w:hint="eastAsia" w:ascii="宋体" w:hAnsi="宋体"/>
        </w:rPr>
        <w:t>预警</w:t>
      </w:r>
      <w:r>
        <w:rPr>
          <w:rFonts w:ascii="宋体" w:hAnsi="宋体"/>
        </w:rPr>
        <w:t>消息的个人工作台</w:t>
      </w:r>
      <w:r>
        <w:rPr>
          <w:rFonts w:hint="eastAsia" w:ascii="宋体" w:hAnsi="宋体"/>
        </w:rPr>
        <w:t>。</w:t>
      </w:r>
    </w:p>
    <w:bookmarkEnd w:id="50"/>
    <w:bookmarkEnd w:id="51"/>
    <w:bookmarkEnd w:id="52"/>
    <w:p>
      <w:pPr>
        <w:pStyle w:val="60"/>
        <w:spacing w:before="156" w:after="156"/>
      </w:pPr>
      <w:bookmarkStart w:id="53" w:name="_Toc3835"/>
      <w:r>
        <w:t>2.2</w:t>
      </w:r>
      <w:r>
        <w:rPr>
          <w:rFonts w:hint="eastAsia"/>
        </w:rPr>
        <w:t>平台</w:t>
      </w:r>
      <w:r>
        <w:t>运行环境维护</w:t>
      </w:r>
      <w:bookmarkEnd w:id="53"/>
    </w:p>
    <w:p>
      <w:pPr>
        <w:pStyle w:val="58"/>
        <w:spacing w:before="156" w:after="156"/>
      </w:pPr>
      <w:r>
        <w:rPr>
          <w:rFonts w:hint="eastAsia"/>
        </w:rPr>
        <w:t>提供针对与情报平台相关的运行维护环境进行维护。主要针对平台涉及到的中间件包含webshere、Tomcat等web容器中间件进行有效维护，检查平台应用系统中间件运行情况，包括：是否正常访问、内存使用情况、CPU使用情况，中间件日志检查、JVM使用情况。</w:t>
      </w:r>
    </w:p>
    <w:p>
      <w:pPr>
        <w:pStyle w:val="60"/>
        <w:spacing w:before="156" w:after="156"/>
        <w:ind w:left="426" w:firstLine="0" w:firstLineChars="0"/>
        <w:outlineLvl w:val="0"/>
        <w:rPr>
          <w:rFonts w:ascii="宋体" w:hAnsi="宋体"/>
          <w:b/>
          <w:szCs w:val="21"/>
        </w:rPr>
      </w:pPr>
      <w:bookmarkStart w:id="54" w:name="_Toc20766"/>
      <w:r>
        <w:rPr>
          <w:rFonts w:ascii="宋体" w:hAnsi="宋体"/>
          <w:b/>
          <w:szCs w:val="21"/>
        </w:rPr>
        <w:t>3.</w:t>
      </w:r>
      <w:r>
        <w:rPr>
          <w:rFonts w:hint="eastAsia" w:ascii="宋体" w:hAnsi="宋体"/>
          <w:b/>
          <w:szCs w:val="21"/>
        </w:rPr>
        <w:t>运维服务方式</w:t>
      </w:r>
      <w:bookmarkEnd w:id="54"/>
    </w:p>
    <w:p>
      <w:pPr>
        <w:pStyle w:val="60"/>
        <w:spacing w:before="156" w:after="156"/>
      </w:pPr>
      <w:bookmarkStart w:id="55" w:name="_Toc25564"/>
      <w:r>
        <w:t>3.1</w:t>
      </w:r>
      <w:r>
        <w:rPr>
          <w:rFonts w:hint="eastAsia"/>
        </w:rPr>
        <w:t>日常巡检服务</w:t>
      </w:r>
      <w:bookmarkEnd w:id="55"/>
    </w:p>
    <w:p>
      <w:pPr>
        <w:pStyle w:val="58"/>
        <w:spacing w:before="156" w:after="156"/>
      </w:pPr>
      <w:r>
        <w:rPr>
          <w:rFonts w:hint="eastAsia"/>
        </w:rPr>
        <w:t>维护服务厂商将对支撑许昌市公安局情报平台运行的各子系统可访问性，数据更新情况等开展主动巡检，巡检情况登记到巡检记录单。</w:t>
      </w:r>
    </w:p>
    <w:p>
      <w:pPr>
        <w:pStyle w:val="60"/>
        <w:spacing w:before="156" w:after="156"/>
        <w:rPr>
          <w:rFonts w:ascii="宋体" w:hAnsi="宋体"/>
          <w:sz w:val="28"/>
          <w:szCs w:val="28"/>
        </w:rPr>
      </w:pPr>
      <w:r>
        <w:rPr>
          <w:rFonts w:hint="eastAsia"/>
        </w:rPr>
        <w:t>对于日常巡检发现和用户提出的问题，及时处理并反馈处理情况。对于属第三方处理的问题，协助许昌市公安局相关人员或第三方人员处理</w:t>
      </w:r>
      <w:r>
        <w:rPr>
          <w:rFonts w:hint="eastAsia" w:ascii="宋体" w:hAnsi="宋体"/>
          <w:sz w:val="28"/>
          <w:szCs w:val="28"/>
        </w:rPr>
        <w:t>。</w:t>
      </w:r>
      <w:bookmarkStart w:id="56" w:name="_Toc28495"/>
    </w:p>
    <w:p>
      <w:pPr>
        <w:pStyle w:val="60"/>
        <w:spacing w:before="156" w:after="156"/>
      </w:pPr>
      <w:r>
        <w:t>3.2</w:t>
      </w:r>
      <w:r>
        <w:rPr>
          <w:rFonts w:hint="eastAsia"/>
        </w:rPr>
        <w:t>系统优化运维</w:t>
      </w:r>
      <w:bookmarkEnd w:id="56"/>
    </w:p>
    <w:p>
      <w:pPr>
        <w:pStyle w:val="60"/>
        <w:spacing w:before="156" w:after="156"/>
      </w:pPr>
      <w:r>
        <w:rPr>
          <w:rFonts w:hint="eastAsia"/>
        </w:rPr>
        <w:t>每月开展一次深度运维工作，针对检查表空间使用率、检查关键表索引是否有效、检查磁盘空间是否够用等内容进行有效深度运维，降低平台发生故障的可能性，提升许昌市公安局情报平台正常运行率。</w:t>
      </w:r>
    </w:p>
    <w:p>
      <w:pPr>
        <w:pStyle w:val="60"/>
        <w:spacing w:before="156" w:after="156"/>
      </w:pPr>
      <w:bookmarkStart w:id="57" w:name="_Toc477965937"/>
      <w:bookmarkStart w:id="58" w:name="_Toc18856"/>
      <w:r>
        <w:t>3.3</w:t>
      </w:r>
      <w:r>
        <w:rPr>
          <w:rFonts w:hint="eastAsia"/>
        </w:rPr>
        <w:t>运维月报</w:t>
      </w:r>
      <w:bookmarkEnd w:id="57"/>
    </w:p>
    <w:p>
      <w:pPr>
        <w:pStyle w:val="60"/>
        <w:spacing w:before="156" w:after="156"/>
      </w:pPr>
      <w:r>
        <w:rPr>
          <w:rFonts w:hint="eastAsia"/>
        </w:rPr>
        <w:t>每月初的五个工作日内编写运维月报，对上月运行情况做出总结，严重问题给出故障原因，并给出优化建议。</w:t>
      </w:r>
      <w:bookmarkEnd w:id="58"/>
    </w:p>
    <w:p>
      <w:pPr>
        <w:pStyle w:val="60"/>
        <w:spacing w:before="156" w:after="156"/>
      </w:pPr>
      <w:r>
        <w:t>3.4</w:t>
      </w:r>
      <w:r>
        <w:rPr>
          <w:rFonts w:hint="eastAsia"/>
        </w:rPr>
        <w:t>技术支持</w:t>
      </w:r>
    </w:p>
    <w:p>
      <w:pPr>
        <w:pStyle w:val="60"/>
        <w:spacing w:before="156" w:after="156"/>
      </w:pPr>
      <w:r>
        <w:rPr>
          <w:rFonts w:hint="eastAsia"/>
        </w:rPr>
        <w:t>提供5×8小时电话技术支持或远程服务,保障平台日常稳定运行。发生故障后，因平台应用软件原因，48小时内解决故障服务，恢复平台正常运行。</w:t>
      </w:r>
    </w:p>
    <w:p>
      <w:pPr>
        <w:widowControl/>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二、采购清单</w:t>
      </w:r>
    </w:p>
    <w:tbl>
      <w:tblPr>
        <w:tblStyle w:val="22"/>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2410"/>
        <w:gridCol w:w="3827"/>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序号</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货物名称</w:t>
            </w:r>
          </w:p>
        </w:tc>
        <w:tc>
          <w:tcPr>
            <w:tcW w:w="382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技术规格及主要参数</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单位</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ascii="宋体" w:hAnsi="宋体" w:eastAsia="宋体" w:cs="宋体"/>
                <w:kern w:val="0"/>
                <w:szCs w:val="21"/>
              </w:rPr>
            </w:pPr>
            <w:r>
              <w:rPr>
                <w:rFonts w:hint="eastAsia" w:cs="Times New Roman" w:asciiTheme="minorEastAsia" w:hAnsiTheme="minorEastAsia"/>
                <w:kern w:val="0"/>
                <w:szCs w:val="21"/>
              </w:rPr>
              <w:t>1</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ascii="宋体" w:hAnsi="宋体" w:eastAsia="宋体" w:cs="宋体"/>
                <w:kern w:val="0"/>
                <w:szCs w:val="21"/>
              </w:rPr>
            </w:pPr>
            <w:r>
              <w:rPr>
                <w:rFonts w:hint="eastAsia" w:cs="仿宋_GB2312" w:asciiTheme="minorEastAsia" w:hAnsiTheme="minorEastAsia"/>
                <w:szCs w:val="21"/>
                <w:shd w:val="clear" w:color="auto" w:fill="FFFFFF"/>
              </w:rPr>
              <w:t>情报平台（</w:t>
            </w:r>
            <w:r>
              <w:rPr>
                <w:rFonts w:cs="仿宋_GB2312" w:asciiTheme="minorEastAsia" w:hAnsiTheme="minorEastAsia"/>
                <w:szCs w:val="21"/>
                <w:shd w:val="clear" w:color="auto" w:fill="FFFFFF"/>
              </w:rPr>
              <w:t>二</w:t>
            </w:r>
            <w:r>
              <w:rPr>
                <w:rFonts w:hint="eastAsia" w:cs="仿宋_GB2312" w:asciiTheme="minorEastAsia" w:hAnsiTheme="minorEastAsia"/>
                <w:szCs w:val="21"/>
                <w:shd w:val="clear" w:color="auto" w:fill="FFFFFF"/>
              </w:rPr>
              <w:t>期）</w:t>
            </w:r>
            <w:r>
              <w:rPr>
                <w:rFonts w:cs="仿宋_GB2312" w:asciiTheme="minorEastAsia" w:hAnsiTheme="minorEastAsia"/>
                <w:szCs w:val="21"/>
                <w:shd w:val="clear" w:color="auto" w:fill="FFFFFF"/>
              </w:rPr>
              <w:t>软件</w:t>
            </w:r>
            <w:r>
              <w:rPr>
                <w:rFonts w:hint="eastAsia" w:cs="仿宋_GB2312" w:asciiTheme="minorEastAsia" w:hAnsiTheme="minorEastAsia"/>
                <w:szCs w:val="21"/>
                <w:shd w:val="clear" w:color="auto" w:fill="FFFFFF"/>
              </w:rPr>
              <w:t>系统三年运维服务</w:t>
            </w:r>
          </w:p>
        </w:tc>
        <w:tc>
          <w:tcPr>
            <w:tcW w:w="382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left"/>
              <w:rPr>
                <w:rFonts w:ascii="Times New Roman" w:hAnsi="Times New Roman" w:eastAsia="仿宋_GB2312" w:cs="Times New Roman"/>
                <w:kern w:val="0"/>
                <w:szCs w:val="21"/>
              </w:rPr>
            </w:pPr>
            <w:r>
              <w:rPr>
                <w:rFonts w:hint="eastAsia" w:ascii="Times New Roman" w:hAnsi="Times New Roman" w:eastAsia="仿宋_GB2312" w:cs="Times New Roman"/>
                <w:kern w:val="0"/>
                <w:sz w:val="24"/>
                <w:szCs w:val="21"/>
              </w:rPr>
              <w:t>详见运维需求和运维方式</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ascii="宋体" w:hAnsi="宋体" w:eastAsia="宋体" w:cs="宋体"/>
                <w:kern w:val="0"/>
                <w:szCs w:val="21"/>
              </w:rPr>
            </w:pPr>
            <w:r>
              <w:rPr>
                <w:rFonts w:ascii="宋体" w:hAnsi="宋体" w:eastAsia="宋体" w:cs="宋体"/>
                <w:kern w:val="0"/>
                <w:szCs w:val="21"/>
              </w:rPr>
              <w:t>项</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ascii="宋体" w:hAnsi="宋体" w:eastAsia="宋体" w:cs="宋体"/>
                <w:kern w:val="0"/>
                <w:szCs w:val="21"/>
              </w:rPr>
            </w:pPr>
            <w:r>
              <w:rPr>
                <w:rFonts w:hint="eastAsia" w:ascii="宋体" w:hAnsi="宋体" w:eastAsia="宋体" w:cs="宋体"/>
                <w:kern w:val="0"/>
                <w:szCs w:val="21"/>
              </w:rPr>
              <w:t>1</w:t>
            </w:r>
          </w:p>
        </w:tc>
      </w:tr>
    </w:tbl>
    <w:p>
      <w:pPr>
        <w:spacing w:line="360" w:lineRule="auto"/>
        <w:ind w:firstLine="482" w:firstLineChars="200"/>
        <w:contextualSpacing/>
        <w:rPr>
          <w:rFonts w:cs="微软雅黑" w:asciiTheme="minorEastAsia" w:hAnsiTheme="minorEastAsia"/>
          <w:b/>
          <w:sz w:val="24"/>
          <w:szCs w:val="24"/>
        </w:rPr>
      </w:pPr>
      <w:r>
        <w:rPr>
          <w:rFonts w:hint="eastAsia" w:cs="微软雅黑" w:asciiTheme="minorEastAsia" w:hAnsiTheme="minorEastAsia"/>
          <w:b/>
          <w:sz w:val="24"/>
          <w:szCs w:val="24"/>
        </w:rPr>
        <w:t>本采购清单中所列技术规格或主要参数为最低要求，不允许负偏离，否则将承担其响应被视为非实质性响应的风险。</w:t>
      </w:r>
    </w:p>
    <w:p>
      <w:pPr>
        <w:widowControl/>
        <w:shd w:val="clear" w:color="auto" w:fill="FFFFFF"/>
        <w:spacing w:line="360" w:lineRule="auto"/>
        <w:ind w:firstLine="6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三、技术要求</w:t>
      </w:r>
    </w:p>
    <w:p>
      <w:pPr>
        <w:widowControl/>
        <w:shd w:val="clear" w:color="auto" w:fill="FFFFFF"/>
        <w:spacing w:line="360" w:lineRule="auto"/>
        <w:ind w:firstLine="600"/>
        <w:contextualSpacing/>
        <w:jc w:val="left"/>
        <w:rPr>
          <w:rFonts w:ascii="宋体" w:hAnsi="Calibri" w:eastAsia="宋体" w:cs="宋体"/>
          <w:color w:val="000000"/>
          <w:kern w:val="0"/>
          <w:sz w:val="24"/>
          <w:szCs w:val="24"/>
          <w:highlight w:val="white"/>
          <w:lang w:val="zh-CN"/>
        </w:rPr>
      </w:pPr>
      <w:r>
        <w:rPr>
          <w:rFonts w:hint="eastAsia" w:ascii="宋体" w:hAnsi="Calibri" w:eastAsia="宋体" w:cs="宋体"/>
          <w:color w:val="000000"/>
          <w:kern w:val="0"/>
          <w:sz w:val="24"/>
          <w:szCs w:val="24"/>
          <w:highlight w:val="white"/>
          <w:lang w:val="zh-CN"/>
        </w:rPr>
        <w:t>情报平台（</w:t>
      </w:r>
      <w:r>
        <w:rPr>
          <w:rFonts w:ascii="宋体" w:hAnsi="Calibri" w:eastAsia="宋体" w:cs="宋体"/>
          <w:color w:val="000000"/>
          <w:kern w:val="0"/>
          <w:sz w:val="24"/>
          <w:szCs w:val="24"/>
          <w:highlight w:val="white"/>
          <w:lang w:val="zh-CN"/>
        </w:rPr>
        <w:t>二</w:t>
      </w:r>
      <w:r>
        <w:rPr>
          <w:rFonts w:hint="eastAsia" w:ascii="宋体" w:hAnsi="Calibri" w:eastAsia="宋体" w:cs="宋体"/>
          <w:color w:val="000000"/>
          <w:kern w:val="0"/>
          <w:sz w:val="24"/>
          <w:szCs w:val="24"/>
          <w:highlight w:val="white"/>
          <w:lang w:val="zh-CN"/>
        </w:rPr>
        <w:t>期）主要包括平台门户和十大子系统，</w:t>
      </w:r>
      <w:r>
        <w:rPr>
          <w:rFonts w:ascii="宋体" w:hAnsi="Calibri" w:eastAsia="宋体" w:cs="宋体"/>
          <w:color w:val="000000"/>
          <w:kern w:val="0"/>
          <w:sz w:val="24"/>
          <w:szCs w:val="24"/>
          <w:highlight w:val="white"/>
          <w:lang w:val="zh-CN"/>
        </w:rPr>
        <w:t>以</w:t>
      </w:r>
      <w:r>
        <w:rPr>
          <w:rFonts w:hint="eastAsia" w:ascii="宋体" w:hAnsi="Calibri" w:eastAsia="宋体" w:cs="宋体"/>
          <w:color w:val="000000"/>
          <w:kern w:val="0"/>
          <w:sz w:val="24"/>
          <w:szCs w:val="24"/>
          <w:highlight w:val="white"/>
          <w:lang w:val="zh-CN"/>
        </w:rPr>
        <w:t>及相关的基础数据库、</w:t>
      </w:r>
      <w:r>
        <w:rPr>
          <w:rFonts w:ascii="宋体" w:hAnsi="Calibri" w:eastAsia="宋体" w:cs="宋体"/>
          <w:color w:val="000000"/>
          <w:kern w:val="0"/>
          <w:sz w:val="24"/>
          <w:szCs w:val="24"/>
          <w:highlight w:val="white"/>
          <w:lang w:val="zh-CN"/>
        </w:rPr>
        <w:t>数据</w:t>
      </w:r>
      <w:r>
        <w:rPr>
          <w:rFonts w:hint="eastAsia" w:ascii="宋体" w:hAnsi="Calibri" w:eastAsia="宋体" w:cs="宋体"/>
          <w:color w:val="000000"/>
          <w:kern w:val="0"/>
          <w:sz w:val="24"/>
          <w:szCs w:val="24"/>
          <w:highlight w:val="white"/>
          <w:lang w:val="zh-CN"/>
        </w:rPr>
        <w:t>模型。平台系统基于J2EE规范，</w:t>
      </w:r>
      <w:r>
        <w:rPr>
          <w:rFonts w:ascii="宋体" w:hAnsi="Calibri" w:eastAsia="宋体" w:cs="宋体"/>
          <w:color w:val="000000"/>
          <w:kern w:val="0"/>
          <w:sz w:val="24"/>
          <w:szCs w:val="24"/>
          <w:highlight w:val="white"/>
          <w:lang w:val="zh-CN"/>
        </w:rPr>
        <w:t>采用</w:t>
      </w:r>
      <w:r>
        <w:rPr>
          <w:rFonts w:hint="eastAsia" w:ascii="宋体" w:hAnsi="Calibri" w:eastAsia="宋体" w:cs="宋体"/>
          <w:color w:val="000000"/>
          <w:kern w:val="0"/>
          <w:sz w:val="24"/>
          <w:szCs w:val="24"/>
          <w:highlight w:val="white"/>
          <w:lang w:val="zh-CN"/>
        </w:rPr>
        <w:t>浏览器/服务器+</w:t>
      </w:r>
      <w:r>
        <w:rPr>
          <w:rFonts w:ascii="宋体" w:hAnsi="Calibri" w:eastAsia="宋体" w:cs="宋体"/>
          <w:color w:val="000000"/>
          <w:kern w:val="0"/>
          <w:sz w:val="24"/>
          <w:szCs w:val="24"/>
          <w:highlight w:val="white"/>
          <w:lang w:val="zh-CN"/>
        </w:rPr>
        <w:t>数据</w:t>
      </w:r>
      <w:r>
        <w:rPr>
          <w:rFonts w:hint="eastAsia" w:ascii="宋体" w:hAnsi="Calibri" w:eastAsia="宋体" w:cs="宋体"/>
          <w:color w:val="000000"/>
          <w:kern w:val="0"/>
          <w:sz w:val="24"/>
          <w:szCs w:val="24"/>
          <w:highlight w:val="white"/>
          <w:lang w:val="zh-CN"/>
        </w:rPr>
        <w:t>库(BWD)三层体系结构，以结构化关系型数据分析为主的MPP并行数据仓库作为数据分析基础架构，基于Hadoop进行半结构化和非结构化数据查询分析。</w:t>
      </w:r>
      <w:r>
        <w:rPr>
          <w:rFonts w:ascii="宋体" w:hAnsi="Calibri" w:eastAsia="宋体" w:cs="宋体"/>
          <w:color w:val="000000"/>
          <w:kern w:val="0"/>
          <w:sz w:val="24"/>
          <w:szCs w:val="24"/>
          <w:highlight w:val="white"/>
          <w:lang w:val="zh-CN"/>
        </w:rPr>
        <w:t>通过</w:t>
      </w:r>
      <w:r>
        <w:rPr>
          <w:rFonts w:hint="eastAsia" w:ascii="宋体" w:hAnsi="Calibri" w:eastAsia="宋体" w:cs="宋体"/>
          <w:color w:val="000000"/>
          <w:kern w:val="0"/>
          <w:sz w:val="24"/>
          <w:szCs w:val="24"/>
          <w:highlight w:val="white"/>
          <w:lang w:val="zh-CN"/>
        </w:rPr>
        <w:t>公安请求服务和数据交换平台实现上级联动。基于PKI/PMI实现身份认证。</w:t>
      </w:r>
    </w:p>
    <w:p>
      <w:pPr>
        <w:widowControl/>
        <w:shd w:val="clear" w:color="auto" w:fill="FFFFFF"/>
        <w:spacing w:line="360" w:lineRule="auto"/>
        <w:ind w:firstLine="6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四、商务要求</w:t>
      </w:r>
    </w:p>
    <w:p>
      <w:pPr>
        <w:widowControl/>
        <w:shd w:val="clear" w:color="auto" w:fill="FFFFFF"/>
        <w:spacing w:line="360" w:lineRule="auto"/>
        <w:ind w:firstLine="480" w:firstLineChars="200"/>
        <w:contextualSpacing/>
        <w:jc w:val="left"/>
        <w:rPr>
          <w:rFonts w:ascii="宋体" w:hAnsi="Calibri" w:eastAsia="宋体" w:cs="宋体"/>
          <w:color w:val="000000"/>
          <w:kern w:val="0"/>
          <w:sz w:val="24"/>
          <w:szCs w:val="24"/>
          <w:highlight w:val="white"/>
          <w:lang w:val="zh-CN"/>
        </w:rPr>
      </w:pPr>
      <w:r>
        <w:rPr>
          <w:rFonts w:hint="eastAsia" w:ascii="宋体" w:hAnsi="Calibri" w:eastAsia="宋体" w:cs="宋体"/>
          <w:color w:val="000000"/>
          <w:kern w:val="0"/>
          <w:sz w:val="24"/>
          <w:szCs w:val="24"/>
          <w:highlight w:val="white"/>
          <w:lang w:val="zh-CN"/>
        </w:rPr>
        <w:t>1、交付（实施）时间（期限）：自合同生效之日起三年。</w:t>
      </w:r>
    </w:p>
    <w:p>
      <w:pPr>
        <w:widowControl/>
        <w:shd w:val="clear" w:color="auto" w:fill="FFFFFF"/>
        <w:spacing w:line="360" w:lineRule="auto"/>
        <w:ind w:firstLine="480" w:firstLineChars="200"/>
        <w:contextualSpacing/>
        <w:jc w:val="left"/>
        <w:rPr>
          <w:rFonts w:ascii="宋体" w:hAnsi="Calibri" w:eastAsia="宋体" w:cs="宋体"/>
          <w:color w:val="000000"/>
          <w:kern w:val="0"/>
          <w:sz w:val="24"/>
          <w:szCs w:val="24"/>
          <w:highlight w:val="white"/>
          <w:lang w:val="zh-CN"/>
        </w:rPr>
      </w:pPr>
      <w:r>
        <w:rPr>
          <w:rFonts w:hint="eastAsia" w:ascii="宋体" w:hAnsi="Calibri" w:eastAsia="宋体" w:cs="宋体"/>
          <w:color w:val="000000"/>
          <w:kern w:val="0"/>
          <w:sz w:val="24"/>
          <w:szCs w:val="24"/>
          <w:highlight w:val="white"/>
          <w:lang w:val="zh-CN"/>
        </w:rPr>
        <w:t>2、交付（实施）地点（范围）：许昌市公安局。</w:t>
      </w:r>
    </w:p>
    <w:p>
      <w:pPr>
        <w:widowControl/>
        <w:shd w:val="clear" w:color="auto" w:fill="FFFFFF"/>
        <w:spacing w:line="360" w:lineRule="auto"/>
        <w:ind w:firstLine="480" w:firstLineChars="200"/>
        <w:contextualSpacing/>
        <w:jc w:val="left"/>
        <w:rPr>
          <w:rFonts w:ascii="宋体" w:hAnsi="Calibri" w:eastAsia="宋体" w:cs="宋体"/>
          <w:color w:val="000000"/>
          <w:kern w:val="0"/>
          <w:sz w:val="24"/>
          <w:szCs w:val="24"/>
          <w:highlight w:val="white"/>
          <w:lang w:val="zh-CN"/>
        </w:rPr>
      </w:pPr>
      <w:r>
        <w:rPr>
          <w:rFonts w:hint="eastAsia" w:ascii="宋体" w:hAnsi="Calibri" w:eastAsia="宋体" w:cs="宋体"/>
          <w:color w:val="000000"/>
          <w:kern w:val="0"/>
          <w:sz w:val="24"/>
          <w:szCs w:val="24"/>
          <w:highlight w:val="white"/>
          <w:lang w:val="zh-CN"/>
        </w:rPr>
        <w:t>3、付款条件：</w:t>
      </w:r>
    </w:p>
    <w:p>
      <w:pPr>
        <w:widowControl/>
        <w:shd w:val="clear" w:color="auto" w:fill="FFFFFF"/>
        <w:spacing w:line="360" w:lineRule="auto"/>
        <w:ind w:firstLine="480" w:firstLineChars="200"/>
        <w:contextualSpacing/>
        <w:jc w:val="left"/>
        <w:rPr>
          <w:rFonts w:ascii="宋体" w:hAnsi="Calibri" w:eastAsia="宋体" w:cs="宋体"/>
          <w:color w:val="000000"/>
          <w:kern w:val="0"/>
          <w:sz w:val="24"/>
          <w:szCs w:val="24"/>
          <w:highlight w:val="white"/>
          <w:lang w:val="zh-CN"/>
        </w:rPr>
      </w:pPr>
      <w:r>
        <w:rPr>
          <w:rFonts w:hint="eastAsia" w:ascii="宋体" w:hAnsi="Calibri" w:eastAsia="宋体" w:cs="宋体"/>
          <w:color w:val="000000"/>
          <w:kern w:val="0"/>
          <w:sz w:val="24"/>
          <w:szCs w:val="24"/>
          <w:highlight w:val="white"/>
          <w:lang w:val="zh-CN"/>
        </w:rPr>
        <w:t>（1）支付方式：银行转账</w:t>
      </w:r>
    </w:p>
    <w:p>
      <w:pPr>
        <w:widowControl/>
        <w:shd w:val="clear" w:color="auto" w:fill="FFFFFF"/>
        <w:spacing w:line="360" w:lineRule="auto"/>
        <w:ind w:firstLine="480" w:firstLineChars="200"/>
        <w:contextualSpacing/>
        <w:jc w:val="left"/>
        <w:rPr>
          <w:rFonts w:ascii="宋体" w:hAnsi="Calibri" w:eastAsia="宋体" w:cs="宋体"/>
          <w:color w:val="000000"/>
          <w:kern w:val="0"/>
          <w:sz w:val="24"/>
          <w:szCs w:val="24"/>
          <w:highlight w:val="white"/>
          <w:lang w:val="zh-CN"/>
        </w:rPr>
      </w:pPr>
      <w:r>
        <w:rPr>
          <w:rFonts w:hint="eastAsia" w:ascii="宋体" w:hAnsi="Calibri" w:eastAsia="宋体" w:cs="宋体"/>
          <w:color w:val="000000"/>
          <w:kern w:val="0"/>
          <w:sz w:val="24"/>
          <w:szCs w:val="24"/>
          <w:highlight w:val="white"/>
          <w:lang w:val="zh-CN"/>
        </w:rPr>
        <w:t>（2）支付进度：</w:t>
      </w:r>
    </w:p>
    <w:p>
      <w:pPr>
        <w:widowControl/>
        <w:shd w:val="clear" w:color="auto" w:fill="FFFFFF"/>
        <w:spacing w:line="360" w:lineRule="auto"/>
        <w:ind w:firstLine="480" w:firstLineChars="200"/>
        <w:contextualSpacing/>
        <w:jc w:val="left"/>
        <w:rPr>
          <w:rFonts w:ascii="宋体" w:hAnsi="Calibri" w:eastAsia="宋体" w:cs="宋体"/>
          <w:color w:val="000000" w:themeColor="text1"/>
          <w:kern w:val="0"/>
          <w:sz w:val="24"/>
          <w:szCs w:val="24"/>
          <w:highlight w:val="white"/>
          <w:lang w:val="zh-CN"/>
        </w:rPr>
      </w:pPr>
      <w:r>
        <w:rPr>
          <w:rFonts w:hint="eastAsia" w:ascii="宋体" w:hAnsi="Calibri" w:eastAsia="宋体" w:cs="宋体"/>
          <w:color w:val="000000" w:themeColor="text1"/>
          <w:kern w:val="0"/>
          <w:sz w:val="24"/>
          <w:szCs w:val="24"/>
          <w:highlight w:val="white"/>
          <w:lang w:val="zh-CN"/>
        </w:rPr>
        <w:t>签订合同后，服务满一年经验收合格，采购人支付合同总价款的40%；服务满两年经验收合格，采购人支付合同总价款的30%；服务满三年经验收合格，采购人支付合同总价款的30%；</w:t>
      </w:r>
    </w:p>
    <w:p>
      <w:pPr>
        <w:widowControl/>
        <w:shd w:val="clear" w:color="auto" w:fill="FFFFFF"/>
        <w:spacing w:line="360" w:lineRule="auto"/>
        <w:ind w:firstLine="6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五、验收标准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中标人</w:t>
      </w:r>
      <w:r>
        <w:rPr>
          <w:rFonts w:cs="宋体" w:asciiTheme="minorEastAsia" w:hAnsiTheme="minorEastAsia"/>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ascii="仿宋" w:hAnsi="仿宋" w:eastAsia="仿宋" w:cs="宋体"/>
          <w:color w:val="000000"/>
          <w:kern w:val="0"/>
          <w:sz w:val="24"/>
          <w:szCs w:val="24"/>
          <w:lang w:val="zh-CN"/>
        </w:rPr>
      </w:pPr>
      <w:r>
        <w:rPr>
          <w:rFonts w:hint="eastAsia" w:cs="宋体" w:asciiTheme="minorEastAsia" w:hAnsiTheme="minorEastAsia"/>
          <w:color w:val="000000"/>
          <w:kern w:val="0"/>
          <w:sz w:val="24"/>
          <w:szCs w:val="24"/>
          <w:lang w:val="zh-CN"/>
        </w:rPr>
        <w:t>2、按照采购文件要求、投标文件响应和承诺验收</w:t>
      </w:r>
      <w:r>
        <w:rPr>
          <w:rFonts w:hint="eastAsia" w:ascii="仿宋" w:hAnsi="仿宋" w:eastAsia="仿宋" w:cs="宋体"/>
          <w:color w:val="000000"/>
          <w:kern w:val="0"/>
          <w:sz w:val="24"/>
          <w:szCs w:val="24"/>
          <w:lang w:val="zh-CN"/>
        </w:rPr>
        <w:t>；</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黑体" w:asciiTheme="minorEastAsia" w:hAnsiTheme="minorEastAsia"/>
          <w:b/>
          <w:bCs/>
          <w:color w:val="000000"/>
          <w:sz w:val="24"/>
          <w:szCs w:val="24"/>
          <w:shd w:val="clear" w:color="auto" w:fill="FFFFFF"/>
        </w:rPr>
        <w:t>六、</w:t>
      </w:r>
      <w:r>
        <w:rPr>
          <w:rFonts w:hint="eastAsia" w:cs="宋体" w:asciiTheme="minorEastAsia" w:hAnsiTheme="minorEastAsia"/>
          <w:b/>
          <w:color w:val="000000"/>
          <w:kern w:val="0"/>
          <w:sz w:val="24"/>
          <w:szCs w:val="24"/>
          <w:lang w:val="zh-CN"/>
        </w:rPr>
        <w:t>采购标的的其他技术、服务等要求</w:t>
      </w:r>
    </w:p>
    <w:p>
      <w:pPr>
        <w:wordWrap w:val="0"/>
        <w:topLinePunct/>
        <w:spacing w:line="360" w:lineRule="auto"/>
        <w:ind w:firstLine="480" w:firstLineChars="200"/>
        <w:rPr>
          <w:rFonts w:ascii="宋体" w:cs="宋体"/>
          <w:b/>
          <w:sz w:val="24"/>
          <w:lang w:val="zh-CN"/>
        </w:rPr>
      </w:pPr>
      <w:r>
        <w:rPr>
          <w:rFonts w:hint="eastAsia" w:ascii="宋体" w:cs="宋体"/>
          <w:sz w:val="24"/>
          <w:lang w:val="zh-CN"/>
        </w:rPr>
        <w:t>1、投标人应就本项目（每包或者标段）完整投标，</w:t>
      </w:r>
      <w:r>
        <w:rPr>
          <w:rFonts w:hint="eastAsia" w:ascii="宋体" w:cs="宋体"/>
          <w:b/>
          <w:sz w:val="24"/>
          <w:lang w:val="zh-CN"/>
        </w:rPr>
        <w:t>否则为无效投标。</w:t>
      </w:r>
    </w:p>
    <w:p>
      <w:pPr>
        <w:wordWrap w:val="0"/>
        <w:topLinePunct/>
        <w:spacing w:line="360" w:lineRule="auto"/>
        <w:ind w:firstLine="480" w:firstLineChars="200"/>
        <w:rPr>
          <w:rFonts w:ascii="宋体" w:cs="宋体"/>
          <w:sz w:val="24"/>
          <w:lang w:val="zh-CN"/>
        </w:rPr>
      </w:pPr>
      <w:r>
        <w:rPr>
          <w:rFonts w:hint="eastAsia" w:ascii="宋体" w:cs="宋体"/>
          <w:sz w:val="24"/>
          <w:lang w:val="zh-CN"/>
        </w:rPr>
        <w:t>2、本项目为交钥匙工程。</w:t>
      </w:r>
    </w:p>
    <w:p>
      <w:pPr>
        <w:wordWrap w:val="0"/>
        <w:topLinePunct/>
        <w:snapToGrid w:val="0"/>
        <w:spacing w:line="360" w:lineRule="auto"/>
        <w:ind w:firstLine="482" w:firstLineChars="200"/>
        <w:rPr>
          <w:rFonts w:ascii="宋体" w:cs="宋体"/>
          <w:b/>
          <w:bCs/>
          <w:sz w:val="24"/>
          <w:lang w:val="zh-CN"/>
        </w:rPr>
      </w:pPr>
      <w:r>
        <w:rPr>
          <w:rFonts w:hint="eastAsia" w:ascii="宋体" w:cs="宋体"/>
          <w:b/>
          <w:sz w:val="24"/>
          <w:lang w:val="zh-CN"/>
        </w:rPr>
        <w:t>3、</w:t>
      </w:r>
      <w:r>
        <w:rPr>
          <w:rFonts w:hint="eastAsia" w:ascii="宋体" w:cs="宋体"/>
          <w:bCs/>
          <w:sz w:val="24"/>
          <w:lang w:val="zh-CN"/>
        </w:rPr>
        <w:t>投标文件中须有实施（技术）方案</w:t>
      </w:r>
      <w:r>
        <w:rPr>
          <w:rFonts w:hint="eastAsia" w:ascii="宋体" w:cs="宋体"/>
          <w:b/>
          <w:bCs/>
          <w:sz w:val="24"/>
          <w:lang w:val="zh-CN"/>
        </w:rPr>
        <w:t>。</w:t>
      </w:r>
      <w:bookmarkStart w:id="61" w:name="_GoBack"/>
      <w:bookmarkEnd w:id="61"/>
    </w:p>
    <w:p>
      <w:pPr>
        <w:wordWrap w:val="0"/>
        <w:topLinePunct/>
        <w:snapToGrid w:val="0"/>
        <w:spacing w:line="360" w:lineRule="auto"/>
        <w:ind w:firstLine="480" w:firstLineChars="200"/>
        <w:rPr>
          <w:rFonts w:ascii="宋体" w:cs="宋体"/>
          <w:bCs/>
          <w:sz w:val="24"/>
          <w:lang w:val="zh-CN"/>
        </w:rPr>
      </w:pPr>
      <w:r>
        <w:rPr>
          <w:rFonts w:hint="eastAsia" w:ascii="宋体" w:cs="宋体"/>
          <w:bCs/>
          <w:sz w:val="24"/>
          <w:lang w:val="zh-CN"/>
        </w:rPr>
        <w:t>4、投标人投标报价在满足采购文件第四章 供应商须知12.4、12.5的同时，</w:t>
      </w:r>
      <w:r>
        <w:rPr>
          <w:rFonts w:ascii="宋体" w:cs="宋体"/>
          <w:bCs/>
          <w:sz w:val="24"/>
          <w:lang w:val="zh-CN"/>
        </w:rPr>
        <w:t>支付给</w:t>
      </w:r>
      <w:r>
        <w:rPr>
          <w:rFonts w:hint="eastAsia" w:ascii="宋体" w:cs="宋体"/>
          <w:bCs/>
          <w:sz w:val="24"/>
          <w:lang w:val="zh-CN"/>
        </w:rPr>
        <w:t>本项目所用工</w:t>
      </w:r>
      <w:r>
        <w:rPr>
          <w:rFonts w:ascii="宋体" w:cs="宋体"/>
          <w:bCs/>
          <w:sz w:val="24"/>
          <w:lang w:val="zh-CN"/>
        </w:rPr>
        <w:t>的工资不得低于</w:t>
      </w:r>
      <w:r>
        <w:rPr>
          <w:rFonts w:hint="eastAsia" w:ascii="宋体" w:cs="宋体"/>
          <w:bCs/>
          <w:sz w:val="24"/>
          <w:lang w:val="zh-CN"/>
        </w:rPr>
        <w:t>许昌市区</w:t>
      </w:r>
      <w:r>
        <w:rPr>
          <w:rFonts w:ascii="宋体" w:cs="宋体"/>
          <w:bCs/>
          <w:sz w:val="24"/>
          <w:lang w:val="zh-CN"/>
        </w:rPr>
        <w:t>最低工资标准。</w:t>
      </w:r>
    </w:p>
    <w:p>
      <w:pPr>
        <w:pStyle w:val="20"/>
        <w:widowControl/>
        <w:shd w:val="clear" w:color="auto" w:fill="FFFFFF"/>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hd w:val="clear" w:color="auto" w:fill="FFFFFF"/>
        </w:rPr>
        <w:t xml:space="preserve">七、本项目预算金额 165000 元。最高限价165000 </w:t>
      </w:r>
      <w:r>
        <w:rPr>
          <w:rFonts w:hint="eastAsia" w:cs="宋体" w:asciiTheme="minorEastAsia" w:hAnsiTheme="minorEastAsia" w:eastAsiaTheme="minorEastAsia"/>
          <w:b/>
          <w:kern w:val="0"/>
          <w:lang w:val="zh-CN"/>
        </w:rPr>
        <w:t>元。超出最高限价的投标无效。</w:t>
      </w: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color w:val="000000" w:themeColor="text1"/>
          <w:kern w:val="0"/>
          <w:szCs w:val="21"/>
        </w:rPr>
      </w:pPr>
      <w:r>
        <w:rPr>
          <w:rFonts w:hint="eastAsia" w:cs="微软雅黑"/>
          <w:b/>
          <w:color w:val="000000" w:themeColor="text1"/>
          <w:szCs w:val="21"/>
        </w:rPr>
        <w:t>谈判文件中凡标有</w:t>
      </w:r>
      <w:r>
        <w:rPr>
          <w:rFonts w:hint="eastAsia" w:cs="微软雅黑" w:asciiTheme="minorEastAsia" w:hAnsiTheme="minorEastAsia"/>
          <w:b/>
          <w:color w:val="000000" w:themeColor="text1"/>
          <w:szCs w:val="21"/>
        </w:rPr>
        <w:t>★</w:t>
      </w:r>
      <w:r>
        <w:rPr>
          <w:rFonts w:hint="eastAsia" w:cs="微软雅黑"/>
          <w:b/>
          <w:color w:val="000000" w:themeColor="text1"/>
          <w:szCs w:val="21"/>
        </w:rPr>
        <w:t>条款均为实质性要求条款，响应文件须完全响应，未实质响应的，按照无效响应处理。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w:t>
            </w:r>
            <w:r>
              <w:rPr>
                <w:rFonts w:cs="仿宋_GB2312" w:asciiTheme="minorEastAsia" w:hAnsiTheme="minorEastAsia"/>
                <w:color w:val="000000"/>
                <w:szCs w:val="21"/>
                <w:shd w:val="clear" w:color="auto" w:fill="FFFFFF"/>
              </w:rPr>
              <w:t xml:space="preserve">XCGAQZ </w:t>
            </w:r>
            <w:r>
              <w:rPr>
                <w:rFonts w:hint="eastAsia" w:cs="仿宋_GB2312" w:asciiTheme="minorEastAsia" w:hAnsiTheme="minorEastAsia"/>
                <w:color w:val="000000"/>
                <w:szCs w:val="21"/>
                <w:shd w:val="clear" w:color="auto" w:fill="FFFFFF"/>
              </w:rPr>
              <w:t>-T2022</w:t>
            </w:r>
            <w:r>
              <w:rPr>
                <w:rFonts w:cs="仿宋_GB2312" w:asciiTheme="minorEastAsia" w:hAnsiTheme="minorEastAsia"/>
                <w:color w:val="000000"/>
                <w:szCs w:val="21"/>
                <w:shd w:val="clear" w:color="auto" w:fill="FFFFFF"/>
              </w:rPr>
              <w:t>001</w:t>
            </w:r>
            <w:r>
              <w:rPr>
                <w:rFonts w:hint="eastAsia" w:cs="仿宋_GB2312" w:asciiTheme="minorEastAsia" w:hAnsiTheme="minorEastAsia"/>
                <w:color w:val="000000"/>
                <w:szCs w:val="21"/>
                <w:shd w:val="clear" w:color="auto" w:fill="FFFFFF"/>
              </w:rPr>
              <w:t>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w:t>
            </w:r>
            <w:r>
              <w:rPr>
                <w:rFonts w:hint="eastAsia" w:cs="仿宋_GB2312" w:asciiTheme="minorEastAsia" w:hAnsiTheme="minorEastAsia"/>
                <w:color w:val="000000"/>
                <w:szCs w:val="21"/>
                <w:shd w:val="clear" w:color="auto" w:fill="FFFFFF"/>
              </w:rPr>
              <w:t>情报平台（二期）运维服务</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项目地址：许昌市公安局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名称：许昌市公安局</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地址：许昌市许由西路166号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 何女士                   电话：18637460097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000000" w:themeColor="text1"/>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①2020或2021年度经审计的财务报告，包括资产负债表、利润表、现金流量表、所有者权益变动表及其附注；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color w:val="000000" w:themeColor="text1"/>
                <w:szCs w:val="21"/>
              </w:rPr>
            </w:pPr>
            <w:r>
              <w:rPr>
                <w:rFonts w:hint="eastAsia" w:ascii="楷体" w:hAnsi="楷体" w:eastAsia="楷体" w:cs="仿宋_GB2312"/>
                <w:b/>
                <w:color w:val="000000" w:themeColor="text1"/>
                <w:sz w:val="24"/>
                <w:szCs w:val="24"/>
                <w:lang w:val="zh-CN"/>
              </w:rPr>
              <w:t>注：仅需提供序号</w:t>
            </w:r>
            <w:r>
              <w:rPr>
                <w:rFonts w:hint="eastAsia" w:ascii="楷体" w:hAnsi="楷体" w:eastAsia="楷体"/>
                <w:b/>
                <w:color w:val="000000" w:themeColor="text1"/>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w:t>
            </w:r>
            <w:r>
              <w:rPr>
                <w:rFonts w:hint="eastAsia" w:asciiTheme="minorEastAsia" w:hAnsiTheme="minorEastAsia"/>
                <w:b/>
                <w:bCs/>
                <w:szCs w:val="21"/>
              </w:rPr>
              <w:t>2020或2021年度经审计的财务报告</w:t>
            </w:r>
            <w:r>
              <w:rPr>
                <w:rFonts w:hint="eastAsia" w:asciiTheme="minorEastAsia" w:hAnsiTheme="minorEastAsia"/>
                <w:bCs/>
                <w:szCs w:val="21"/>
              </w:rPr>
              <w:t>，包括资产负债表、利润表、现金流量表、所有者权益变动表及其附注；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ascii="楷体" w:hAnsi="楷体" w:eastAsia="楷体" w:cs="仿宋_GB2312"/>
                <w:b/>
                <w:color w:val="000000" w:themeColor="text1"/>
                <w:sz w:val="24"/>
                <w:szCs w:val="24"/>
                <w:lang w:val="zh-CN"/>
              </w:rPr>
            </w:pPr>
            <w:r>
              <w:rPr>
                <w:rFonts w:hint="eastAsia" w:ascii="楷体" w:hAnsi="楷体" w:eastAsia="楷体" w:cs="仿宋_GB2312"/>
                <w:b/>
                <w:color w:val="000000" w:themeColor="text1"/>
                <w:sz w:val="24"/>
                <w:szCs w:val="24"/>
                <w:lang w:val="zh-CN"/>
              </w:rPr>
              <w:t>注：仅需提供序号①～③其中之一即可。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参加本次采购项目谈判响应截止时间前一年内任意一个月缴纳税收凭据。（依法免税的供应商，应提供相应文件证明依法免税）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参加本次采购项目谈判响应截止时间前一年内任意一个月缴纳社会保险凭据。（依法不需要缴纳社会保障资金的供应商，应提供相应文件证明依法不需要缴纳社会保障资金）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b/>
                <w:color w:val="000000" w:themeColor="text1"/>
                <w:sz w:val="24"/>
                <w:szCs w:val="24"/>
              </w:rPr>
            </w:pPr>
            <w:r>
              <w:rPr>
                <w:rFonts w:hint="eastAsia" w:ascii="楷体" w:hAnsi="楷体" w:eastAsia="楷体" w:cs="仿宋_GB2312"/>
                <w:b/>
                <w:color w:val="000000" w:themeColor="text1"/>
                <w:sz w:val="24"/>
                <w:szCs w:val="24"/>
                <w:lang w:val="zh-CN"/>
              </w:rPr>
              <w:t>注：仅需提供序号</w:t>
            </w:r>
            <w:r>
              <w:rPr>
                <w:rFonts w:hint="eastAsia" w:ascii="楷体" w:hAnsi="楷体" w:eastAsia="楷体"/>
                <w:b/>
                <w:color w:val="000000" w:themeColor="text1"/>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未被列入“信用中国”网站(www.creditchina.gov.cn)失信被执行人、税收违法黑名单的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“中国社会组织政务服务平台”网站（</w:t>
            </w:r>
            <w:r>
              <w:rPr>
                <w:rFonts w:cs="仿宋_GB2312" w:asciiTheme="minorEastAsia" w:hAnsiTheme="minorEastAsia"/>
                <w:b/>
                <w:color w:val="000000"/>
                <w:szCs w:val="21"/>
                <w:shd w:val="clear" w:color="auto" w:fill="FFFFFF"/>
              </w:rPr>
              <w:t>https://chinanpo.mca.gov.cn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③“中国社会组织政务服务平台”网站（</w:t>
            </w:r>
            <w:r>
              <w:rPr>
                <w:rFonts w:cs="宋体" w:asciiTheme="minorEastAsia" w:hAnsiTheme="minorEastAsia"/>
                <w:kern w:val="0"/>
                <w:szCs w:val="21"/>
              </w:rPr>
              <w:t>https://chinanpo.mca.gov.cn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b/>
                <w:color w:val="000000" w:themeColor="text1"/>
                <w:kern w:val="0"/>
                <w:szCs w:val="21"/>
              </w:rPr>
            </w:pPr>
            <w:r>
              <w:rPr>
                <w:rFonts w:hint="eastAsia" w:cs="宋体" w:asciiTheme="minorEastAsia" w:hAnsiTheme="minorEastAsia"/>
                <w:b/>
                <w:color w:val="000000" w:themeColor="text1"/>
                <w:kern w:val="0"/>
                <w:szCs w:val="21"/>
              </w:rPr>
              <w:t>3、响应文件中的</w:t>
            </w:r>
            <w:r>
              <w:rPr>
                <w:rFonts w:hint="eastAsia" w:ascii="宋体" w:hAnsi="宋体" w:cs="微软雅黑"/>
                <w:b/>
                <w:bCs/>
                <w:color w:val="000000" w:themeColor="text1"/>
                <w:szCs w:val="21"/>
              </w:rPr>
              <w:t>信用记录查询结果提供网页截屏。</w:t>
            </w:r>
          </w:p>
          <w:p>
            <w:p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4、信用信息的使用原则：经谈判小组认定的被列入失信被执行人、税收违法黑名单、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严重违法失信社会组织名单的供应商，将拒绝其参与本次采购活动。</w:t>
            </w:r>
          </w:p>
          <w:p>
            <w:pPr>
              <w:autoSpaceDE w:val="0"/>
              <w:autoSpaceDN w:val="0"/>
              <w:spacing w:line="360" w:lineRule="auto"/>
              <w:contextualSpacing/>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000000" w:themeColor="text1"/>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000000" w:themeColor="text1"/>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
                <w:bCs/>
                <w:szCs w:val="21"/>
                <w:lang w:val="zh-CN"/>
              </w:rPr>
            </w:pPr>
            <w:r>
              <w:rPr>
                <w:rFonts w:hint="eastAsia" w:cs="宋体" w:asciiTheme="minorEastAsia" w:hAnsiTheme="minorEastAsia"/>
                <w:b/>
                <w:bCs/>
                <w:szCs w:val="21"/>
                <w:lang w:val="zh-CN"/>
              </w:rPr>
              <w:t>预算上限金额 165000 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000000" w:themeColor="text1"/>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b/>
                <w:color w:val="000000" w:themeColor="text1"/>
                <w:szCs w:val="21"/>
              </w:rPr>
            </w:pPr>
            <w:r>
              <w:rPr>
                <w:rFonts w:hint="eastAsia" w:cs="黑体" w:asciiTheme="minorEastAsia" w:hAnsiTheme="minorEastAsia"/>
                <w:b/>
                <w:color w:val="000000" w:themeColor="text1"/>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
                <w:bCs/>
                <w:color w:val="000000" w:themeColor="text1"/>
                <w:szCs w:val="21"/>
                <w:lang w:val="zh-CN"/>
              </w:rPr>
            </w:pPr>
            <w:r>
              <w:rPr>
                <w:rFonts w:hint="eastAsia" w:cs="仿宋_GB2312" w:asciiTheme="minorEastAsia" w:hAnsiTheme="minorEastAsia"/>
                <w:b/>
                <w:color w:val="000000" w:themeColor="text1"/>
                <w:szCs w:val="21"/>
                <w:shd w:val="clear" w:color="auto" w:fill="FFFFFF"/>
              </w:rPr>
              <w:t>响应文件提交截止、</w:t>
            </w:r>
            <w:r>
              <w:rPr>
                <w:rFonts w:hint="eastAsia" w:cs="宋体" w:asciiTheme="minorEastAsia" w:hAnsiTheme="minorEastAsia"/>
                <w:b/>
                <w:bCs/>
                <w:color w:val="000000" w:themeColor="text1"/>
                <w:szCs w:val="21"/>
                <w:lang w:val="zh-CN"/>
              </w:rPr>
              <w:t>谈判响应截止及谈判时间</w:t>
            </w:r>
          </w:p>
        </w:tc>
        <w:tc>
          <w:tcPr>
            <w:tcW w:w="6813" w:type="dxa"/>
            <w:vAlign w:val="center"/>
          </w:tcPr>
          <w:p>
            <w:pPr>
              <w:autoSpaceDE w:val="0"/>
              <w:autoSpaceDN w:val="0"/>
              <w:adjustRightInd w:val="0"/>
              <w:spacing w:line="360" w:lineRule="auto"/>
              <w:ind w:firstLine="211" w:firstLineChars="100"/>
              <w:rPr>
                <w:rFonts w:cs="宋体" w:asciiTheme="minorEastAsia" w:hAnsiTheme="minorEastAsia"/>
                <w:b/>
                <w:bCs/>
                <w:color w:val="000000" w:themeColor="text1"/>
                <w:szCs w:val="21"/>
                <w:lang w:val="zh-CN"/>
              </w:rPr>
            </w:pPr>
            <w:r>
              <w:rPr>
                <w:rFonts w:hint="eastAsia" w:cs="宋体" w:asciiTheme="minorEastAsia" w:hAnsiTheme="minorEastAsia"/>
                <w:b/>
                <w:bCs/>
                <w:color w:val="000000" w:themeColor="text1"/>
                <w:szCs w:val="21"/>
              </w:rPr>
              <w:t>2022</w:t>
            </w:r>
            <w:r>
              <w:rPr>
                <w:rFonts w:hint="eastAsia" w:cs="宋体" w:asciiTheme="minorEastAsia" w:hAnsiTheme="minorEastAsia"/>
                <w:b/>
                <w:bCs/>
                <w:color w:val="000000" w:themeColor="text1"/>
                <w:szCs w:val="21"/>
                <w:lang w:val="zh-CN"/>
              </w:rPr>
              <w:t xml:space="preserve">年  </w:t>
            </w:r>
            <w:r>
              <w:rPr>
                <w:rFonts w:hint="eastAsia" w:cs="宋体" w:asciiTheme="minorEastAsia" w:hAnsiTheme="minorEastAsia"/>
                <w:b/>
                <w:bCs/>
                <w:color w:val="000000" w:themeColor="text1"/>
                <w:szCs w:val="21"/>
                <w:lang w:val="en-US" w:eastAsia="zh-CN"/>
              </w:rPr>
              <w:t>7</w:t>
            </w:r>
            <w:r>
              <w:rPr>
                <w:rFonts w:hint="eastAsia" w:cs="宋体" w:asciiTheme="minorEastAsia" w:hAnsiTheme="minorEastAsia"/>
                <w:b/>
                <w:bCs/>
                <w:color w:val="000000" w:themeColor="text1"/>
                <w:szCs w:val="21"/>
                <w:lang w:val="zh-CN"/>
              </w:rPr>
              <w:t xml:space="preserve">  月 </w:t>
            </w:r>
            <w:r>
              <w:rPr>
                <w:rFonts w:hint="eastAsia" w:cs="宋体" w:asciiTheme="minorEastAsia" w:hAnsiTheme="minorEastAsia"/>
                <w:b/>
                <w:bCs/>
                <w:color w:val="000000" w:themeColor="text1"/>
                <w:szCs w:val="21"/>
                <w:lang w:val="en-US" w:eastAsia="zh-CN"/>
              </w:rPr>
              <w:t>14</w:t>
            </w:r>
            <w:r>
              <w:rPr>
                <w:rFonts w:hint="eastAsia" w:cs="宋体" w:asciiTheme="minorEastAsia" w:hAnsiTheme="minorEastAsia"/>
                <w:b/>
                <w:bCs/>
                <w:color w:val="000000" w:themeColor="text1"/>
                <w:szCs w:val="21"/>
                <w:lang w:val="zh-CN"/>
              </w:rPr>
              <w:t xml:space="preserve">    日   </w:t>
            </w:r>
            <w:r>
              <w:rPr>
                <w:rFonts w:hint="eastAsia" w:cs="宋体" w:asciiTheme="minorEastAsia" w:hAnsiTheme="minorEastAsia"/>
                <w:b/>
                <w:bCs/>
                <w:color w:val="000000" w:themeColor="text1"/>
                <w:szCs w:val="21"/>
                <w:lang w:val="en-US" w:eastAsia="zh-CN"/>
              </w:rPr>
              <w:t>9</w:t>
            </w:r>
            <w:r>
              <w:rPr>
                <w:rFonts w:hint="eastAsia" w:cs="宋体" w:asciiTheme="minorEastAsia" w:hAnsiTheme="minorEastAsia"/>
                <w:b/>
                <w:bCs/>
                <w:color w:val="000000" w:themeColor="text1"/>
                <w:szCs w:val="21"/>
                <w:lang w:val="zh-CN"/>
              </w:rPr>
              <w:t xml:space="preserve">  时 </w:t>
            </w:r>
            <w:r>
              <w:rPr>
                <w:rFonts w:hint="eastAsia" w:cs="宋体" w:asciiTheme="minorEastAsia" w:hAnsiTheme="minorEastAsia"/>
                <w:b/>
                <w:bCs/>
                <w:color w:val="000000" w:themeColor="text1"/>
                <w:szCs w:val="21"/>
                <w:lang w:val="en-US" w:eastAsia="zh-CN"/>
              </w:rPr>
              <w:t>00</w:t>
            </w:r>
            <w:r>
              <w:rPr>
                <w:rFonts w:hint="eastAsia" w:cs="宋体" w:asciiTheme="minorEastAsia" w:hAnsiTheme="minorEastAsia"/>
                <w:b/>
                <w:bCs/>
                <w:color w:val="000000" w:themeColor="text1"/>
                <w:szCs w:val="21"/>
                <w:lang w:val="zh-CN"/>
              </w:rPr>
              <w:t xml:space="preserve">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b/>
                <w:color w:val="000000" w:themeColor="text1"/>
                <w:szCs w:val="21"/>
              </w:rPr>
            </w:pPr>
            <w:r>
              <w:rPr>
                <w:rFonts w:hint="eastAsia" w:cs="黑体" w:asciiTheme="minorEastAsia" w:hAnsiTheme="minorEastAsia"/>
                <w:b/>
                <w:color w:val="000000" w:themeColor="text1"/>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b/>
                <w:color w:val="000000" w:themeColor="text1"/>
                <w:szCs w:val="21"/>
              </w:rPr>
            </w:pPr>
            <w:r>
              <w:rPr>
                <w:rFonts w:hint="eastAsia" w:cs="黑体" w:asciiTheme="minorEastAsia" w:hAnsiTheme="minorEastAsia"/>
                <w:b/>
                <w:color w:val="000000" w:themeColor="text1"/>
                <w:szCs w:val="21"/>
              </w:rPr>
              <w:t>响应文件</w:t>
            </w:r>
          </w:p>
          <w:p>
            <w:pPr>
              <w:autoSpaceDE w:val="0"/>
              <w:autoSpaceDN w:val="0"/>
              <w:adjustRightInd w:val="0"/>
              <w:spacing w:line="360" w:lineRule="auto"/>
              <w:jc w:val="center"/>
              <w:rPr>
                <w:rFonts w:cs="黑体" w:asciiTheme="minorEastAsia" w:hAnsiTheme="minorEastAsia"/>
                <w:b/>
                <w:color w:val="000000" w:themeColor="text1"/>
                <w:szCs w:val="21"/>
              </w:rPr>
            </w:pPr>
            <w:r>
              <w:rPr>
                <w:rFonts w:hint="eastAsia" w:cs="黑体" w:asciiTheme="minorEastAsia" w:hAnsiTheme="minorEastAsia"/>
                <w:b/>
                <w:color w:val="000000" w:themeColor="text1"/>
                <w:szCs w:val="21"/>
              </w:rPr>
              <w:t>开启地点</w:t>
            </w:r>
          </w:p>
        </w:tc>
        <w:tc>
          <w:tcPr>
            <w:tcW w:w="6813" w:type="dxa"/>
            <w:vAlign w:val="center"/>
          </w:tcPr>
          <w:p>
            <w:pPr>
              <w:autoSpaceDE w:val="0"/>
              <w:autoSpaceDN w:val="0"/>
              <w:adjustRightInd w:val="0"/>
              <w:spacing w:line="360" w:lineRule="auto"/>
              <w:rPr>
                <w:rFonts w:cs="宋体" w:asciiTheme="minorEastAsia" w:hAnsiTheme="minorEastAsia"/>
                <w:b/>
                <w:bCs/>
                <w:color w:val="000000" w:themeColor="text1"/>
                <w:szCs w:val="21"/>
                <w:lang w:val="zh-CN"/>
              </w:rPr>
            </w:pPr>
            <w:r>
              <w:rPr>
                <w:rFonts w:hint="eastAsia" w:cs="仿宋_GB2312" w:asciiTheme="minorEastAsia" w:hAnsiTheme="minorEastAsia"/>
                <w:b/>
                <w:color w:val="000000" w:themeColor="text1"/>
                <w:szCs w:val="21"/>
              </w:rPr>
              <w:t>谈判响应文件开启地点：许昌市公安局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供应商应提供谈判承诺函。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谈判公告、成交公告、变更（更正）公告、现场勘察答复等相关信息在许昌市公安局网站发布。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b/>
                <w:color w:val="000000" w:themeColor="text1"/>
                <w:szCs w:val="21"/>
              </w:rPr>
            </w:pPr>
            <w:r>
              <w:rPr>
                <w:rFonts w:hint="eastAsia" w:cs="黑体" w:asciiTheme="minorEastAsia" w:hAnsiTheme="minorEastAsia"/>
                <w:b/>
                <w:color w:val="000000" w:themeColor="text1"/>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b/>
                <w:color w:val="000000" w:themeColor="text1"/>
                <w:szCs w:val="21"/>
              </w:rPr>
            </w:pPr>
            <w:r>
              <w:rPr>
                <w:rFonts w:hint="eastAsia" w:cs="黑体" w:asciiTheme="minorEastAsia" w:hAnsiTheme="minorEastAsia"/>
                <w:b/>
                <w:color w:val="000000" w:themeColor="text1"/>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b/>
                <w:bCs/>
                <w:color w:val="000000" w:themeColor="text1"/>
                <w:szCs w:val="21"/>
                <w:highlight w:val="lightGray"/>
                <w:lang w:val="zh-CN"/>
              </w:rPr>
            </w:pPr>
            <w:r>
              <w:rPr>
                <w:rFonts w:hint="eastAsia" w:cs="宋体" w:asciiTheme="minorEastAsia" w:hAnsiTheme="minorEastAsia"/>
                <w:b/>
                <w:bCs/>
                <w:color w:val="000000" w:themeColor="text1"/>
                <w:szCs w:val="21"/>
                <w:lang w:val="zh-CN"/>
              </w:rPr>
              <w:t>■</w:t>
            </w:r>
            <w:r>
              <w:rPr>
                <w:rFonts w:hint="eastAsia" w:ascii="新宋体" w:hAnsi="新宋体" w:eastAsia="新宋体"/>
                <w:b/>
                <w:color w:val="000000" w:themeColor="text1"/>
                <w:szCs w:val="21"/>
              </w:rPr>
              <w:t>纸质响应文件：</w:t>
            </w:r>
            <w:r>
              <w:rPr>
                <w:rFonts w:hint="eastAsia" w:cs="仿宋_GB2312" w:asciiTheme="minorEastAsia" w:hAnsiTheme="minorEastAsia"/>
                <w:b/>
                <w:color w:val="000000" w:themeColor="text1"/>
                <w:szCs w:val="21"/>
              </w:rPr>
              <w:t>正本一份，</w:t>
            </w:r>
            <w:r>
              <w:rPr>
                <w:rFonts w:hint="eastAsia" w:ascii="新宋体" w:hAnsi="新宋体" w:eastAsia="新宋体"/>
                <w:b/>
                <w:color w:val="000000" w:themeColor="text1"/>
                <w:szCs w:val="21"/>
              </w:rPr>
              <w:t>副本四份</w:t>
            </w:r>
            <w:r>
              <w:rPr>
                <w:rFonts w:hint="eastAsia" w:cs="仿宋_GB2312" w:asciiTheme="minorEastAsia" w:hAnsiTheme="minorEastAsia"/>
                <w:b/>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cs="TimesNewRomanPSMT" w:asciiTheme="minorEastAsia" w:hAnsiTheme="minorEastAsia"/>
                <w:szCs w:val="21"/>
              </w:rPr>
              <w:t>19</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b/>
                <w:szCs w:val="21"/>
              </w:rPr>
              <w:t>由采购人按照内部规定组成谈判小组</w:t>
            </w:r>
            <w:r>
              <w:rPr>
                <w:rFonts w:hint="eastAsia" w:cs="仿宋_GB2312" w:asciiTheme="minorEastAsia" w:hAnsiTheme="minorEastAsia"/>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r>
              <w:rPr>
                <w:rFonts w:cs="TimesNewRomanPSMT" w:asciiTheme="minorEastAsia" w:hAnsiTheme="minorEastAsia"/>
                <w:szCs w:val="21"/>
              </w:rPr>
              <w:t>0</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中小企业有关政策</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1、根据工信部等部委发布的《关于印发中小企业划型标准规定的通知》（工信部联企业〔2011〕300号），按照本次采购标的所属行业的划型标准，符合条件的中小企业应按照采购文件格式要求提供《中小企业声明函》，</w:t>
            </w:r>
            <w:r>
              <w:rPr>
                <w:rFonts w:ascii="ˎ̥" w:hAnsi="ˎ̥"/>
              </w:rPr>
              <w:t>否则不得享受相关中小企业扶持政策。</w:t>
            </w:r>
          </w:p>
          <w:p>
            <w:pPr>
              <w:autoSpaceDE w:val="0"/>
              <w:autoSpaceDN w:val="0"/>
              <w:adjustRightInd w:val="0"/>
              <w:spacing w:line="360" w:lineRule="auto"/>
              <w:contextualSpacing/>
              <w:rPr>
                <w:rFonts w:ascii="ˎ̥" w:hAnsi="ˎ̥"/>
              </w:rPr>
            </w:pPr>
            <w:r>
              <w:rPr>
                <w:rFonts w:hint="eastAsia" w:ascii="ˎ̥" w:hAnsi="ˎ̥"/>
              </w:rPr>
              <w:t>2、本次</w:t>
            </w:r>
            <w:r>
              <w:t>采购标的对应的中小企业划分标准所属行业</w:t>
            </w:r>
            <w:r>
              <w:rPr>
                <w:rFonts w:hint="eastAsia"/>
              </w:rPr>
              <w:t>：</w:t>
            </w:r>
          </w:p>
          <w:p>
            <w:pPr>
              <w:autoSpaceDE w:val="0"/>
              <w:autoSpaceDN w:val="0"/>
              <w:adjustRightInd w:val="0"/>
              <w:spacing w:line="360" w:lineRule="auto"/>
              <w:contextualSpacing/>
              <w:rPr>
                <w:rFonts w:ascii="ˎ̥" w:hAnsi="ˎ̥"/>
              </w:rPr>
            </w:pPr>
            <w:r>
              <w:rPr>
                <w:rFonts w:hint="eastAsia" w:ascii="ˎ̥" w:hAnsi="ˎ̥"/>
              </w:rPr>
              <w:t>3、根据财政部、工业和信息化部发布的《政府采购促进中小企业发展管理办法》（财库〔2020〕46号）规定，对小型和微型企业投标价格给予6%（6%-10%）的扣除，用扣除后的价格参与评审。</w:t>
            </w:r>
          </w:p>
          <w:p>
            <w:pPr>
              <w:spacing w:line="360" w:lineRule="auto"/>
              <w:contextualSpacing/>
              <w:rPr>
                <w:rFonts w:ascii="ˎ̥" w:hAnsi="ˎ̥"/>
              </w:rPr>
            </w:pPr>
            <w:r>
              <w:rPr>
                <w:rFonts w:hint="eastAsia" w:ascii="ˎ̥" w:hAnsi="ˎ̥"/>
              </w:rPr>
              <w:t>4、</w:t>
            </w:r>
            <w:r>
              <w:rPr>
                <w:rFonts w:ascii="ˎ̥" w:hAnsi="ˎ̥"/>
              </w:rPr>
              <w:t>以联合体形式参加政府采购活动，联合体各方均为中小企业的，联合体视同中小企业。其中，联合体各方均为小微企业的，联合体视同小微企业。</w:t>
            </w:r>
          </w:p>
          <w:p>
            <w:pPr>
              <w:autoSpaceDE w:val="0"/>
              <w:autoSpaceDN w:val="0"/>
              <w:adjustRightInd w:val="0"/>
              <w:spacing w:line="360" w:lineRule="auto"/>
              <w:contextualSpacing/>
              <w:rPr>
                <w:rFonts w:ascii="ˎ̥" w:hAnsi="ˎ̥"/>
              </w:rPr>
            </w:pPr>
            <w:r>
              <w:rPr>
                <w:rFonts w:hint="eastAsia" w:ascii="ˎ̥" w:hAnsi="ˎ̥"/>
              </w:rPr>
              <w:t>5、</w:t>
            </w:r>
            <w:r>
              <w:rPr>
                <w:rFonts w:ascii="ˎ̥" w:hAnsi="ˎ̥"/>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30%以上的，采购人、采购代理机构应当对联合体或者大中型企业的报价给予2%（</w:t>
            </w:r>
            <w:r>
              <w:rPr>
                <w:rFonts w:hint="eastAsia" w:ascii="ˎ̥" w:hAnsi="ˎ̥"/>
              </w:rPr>
              <w:t>2</w:t>
            </w:r>
            <w:r>
              <w:rPr>
                <w:rFonts w:ascii="ˎ̥" w:hAnsi="ˎ̥"/>
              </w:rPr>
              <w:t>—</w:t>
            </w:r>
            <w:r>
              <w:rPr>
                <w:rFonts w:hint="eastAsia" w:ascii="ˎ̥" w:hAnsi="ˎ̥"/>
              </w:rPr>
              <w:t>3</w:t>
            </w:r>
            <w:r>
              <w:rPr>
                <w:rFonts w:ascii="ˎ̥" w:hAnsi="ˎ̥"/>
              </w:rPr>
              <w:t>%）的扣除，用扣除后的价格参加评审。组成联合体或者接受分包的小微企业与联合体内其他企业、分包企业之间存在直接控股、管理关系的，不享受价格扣除优惠政策。</w:t>
            </w:r>
          </w:p>
          <w:p>
            <w:pPr>
              <w:autoSpaceDE w:val="0"/>
              <w:autoSpaceDN w:val="0"/>
              <w:adjustRightInd w:val="0"/>
              <w:spacing w:line="360" w:lineRule="auto"/>
              <w:contextualSpacing/>
              <w:rPr>
                <w:rFonts w:ascii="ˎ̥" w:hAnsi="ˎ̥"/>
              </w:rPr>
            </w:pPr>
            <w:r>
              <w:rPr>
                <w:rFonts w:hint="eastAsia" w:ascii="ˎ̥" w:hAnsi="ˎ̥"/>
              </w:rPr>
              <w:t>6、提供由省级以上监狱管理局、戒毒管理局（含新疆生产建设兵团）出具的属于监狱企业证明文件的，视同为小型和微型企业。</w:t>
            </w:r>
          </w:p>
          <w:p>
            <w:pPr>
              <w:autoSpaceDE w:val="0"/>
              <w:autoSpaceDN w:val="0"/>
              <w:adjustRightInd w:val="0"/>
              <w:spacing w:line="360" w:lineRule="auto"/>
              <w:contextualSpacing/>
              <w:rPr>
                <w:rFonts w:cs="宋体" w:asciiTheme="minorEastAsia" w:hAnsiTheme="minorEastAsia"/>
                <w:b/>
                <w:kern w:val="0"/>
                <w:szCs w:val="21"/>
                <w:lang w:val="zh-CN"/>
              </w:rPr>
            </w:pPr>
            <w:r>
              <w:rPr>
                <w:rFonts w:hint="eastAsia" w:ascii="ˎ̥" w:hAnsi="ˎ̥"/>
              </w:rPr>
              <w:t>7、符合享受政府采购支持政策的残疾人福利性单位条件且提供《残疾人福利性单位声明函》的，视同为小型和微型企业。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节能环保要求</w:t>
            </w:r>
          </w:p>
        </w:tc>
        <w:tc>
          <w:tcPr>
            <w:tcW w:w="6813" w:type="dxa"/>
            <w:vAlign w:val="center"/>
          </w:tcPr>
          <w:p>
            <w:pPr>
              <w:autoSpaceDE w:val="0"/>
              <w:autoSpaceDN w:val="0"/>
              <w:adjustRightInd w:val="0"/>
              <w:spacing w:line="360" w:lineRule="auto"/>
              <w:rPr>
                <w:rFonts w:ascii="ˎ̥" w:hAnsi="ˎ̥"/>
              </w:rPr>
            </w:pPr>
            <w:r>
              <w:rPr>
                <w:rFonts w:hint="eastAsia" w:cs="宋体" w:asciiTheme="minorEastAsia" w:hAnsiTheme="minorEastAsia"/>
                <w:bCs/>
                <w:szCs w:val="21"/>
                <w:lang w:val="zh-CN"/>
              </w:rPr>
              <w:t>执行《财政部 发展改革委 生态环境部 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投标产品属于政府强制采购产品的，须提供国家确定的认证机构出具的、处于有效期之内的节能产品认证证书，否则投标无效；属于政府优先采购产品的，须提供国家确定的认证机构出具的、处于有效期之内的节能产品、环境标志产品认证证书，否则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w:t>
            </w:r>
            <w:r>
              <w:rPr>
                <w:rFonts w:cs="黑体" w:asciiTheme="minorEastAsia" w:hAnsiTheme="minorEastAsia"/>
                <w:szCs w:val="21"/>
              </w:rPr>
              <w:t>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信息安全要求</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按照《关于信息安全产品实施政府采购的通知》（财库【2010】48号）要求：信息安全产品，需提供由中国信息安全认证中心按国家标准认证颁发的有效认证证书。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w:t>
            </w:r>
            <w:r>
              <w:rPr>
                <w:rFonts w:cs="黑体" w:asciiTheme="minorEastAsia" w:hAnsiTheme="minorEastAsia"/>
                <w:szCs w:val="21"/>
              </w:rPr>
              <w:t>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w:t>
            </w:r>
            <w:r>
              <w:rPr>
                <w:rFonts w:hint="eastAsia" w:cs="宋体" w:asciiTheme="minorEastAsia" w:hAnsiTheme="minorEastAsia"/>
                <w:color w:val="000000" w:themeColor="text1"/>
                <w:szCs w:val="21"/>
              </w:rPr>
              <w:t>。履约保证金的数额为合同金额</w:t>
            </w:r>
            <w:r>
              <w:rPr>
                <w:rFonts w:hint="eastAsia" w:ascii="新宋体" w:hAnsi="新宋体" w:eastAsia="新宋体"/>
                <w:color w:val="000000" w:themeColor="text1"/>
                <w:szCs w:val="21"/>
              </w:rPr>
              <w:t>的   %</w:t>
            </w:r>
            <w:r>
              <w:rPr>
                <w:rFonts w:hint="eastAsia" w:cs="宋体" w:asciiTheme="minorEastAsia" w:hAnsiTheme="minorEastAsia"/>
                <w:color w:val="000000" w:themeColor="text1"/>
                <w:szCs w:val="21"/>
              </w:rPr>
              <w:t>。中</w:t>
            </w:r>
            <w:r>
              <w:rPr>
                <w:rFonts w:hint="eastAsia" w:cs="宋体" w:asciiTheme="minorEastAsia" w:hAnsiTheme="minorEastAsia"/>
                <w:color w:val="333333"/>
                <w:szCs w:val="21"/>
              </w:rPr>
              <w:t>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w:t>
            </w:r>
            <w:r>
              <w:rPr>
                <w:rFonts w:cs="黑体" w:asciiTheme="minorEastAsia" w:hAnsiTheme="minorEastAsia"/>
                <w:szCs w:val="21"/>
              </w:rPr>
              <w:t>5</w:t>
            </w:r>
          </w:p>
        </w:tc>
        <w:tc>
          <w:tcPr>
            <w:tcW w:w="2268" w:type="dxa"/>
            <w:vAlign w:val="center"/>
          </w:tcPr>
          <w:p>
            <w:pPr>
              <w:autoSpaceDE w:val="0"/>
              <w:autoSpaceDN w:val="0"/>
              <w:adjustRightInd w:val="0"/>
              <w:spacing w:line="360" w:lineRule="auto"/>
              <w:jc w:val="center"/>
              <w:rPr>
                <w:rFonts w:cs="宋体" w:asciiTheme="minorEastAsia" w:hAnsiTheme="minorEastAsia"/>
                <w:bCs/>
                <w:szCs w:val="21"/>
              </w:rPr>
            </w:pPr>
            <w:r>
              <w:rPr>
                <w:rFonts w:hint="eastAsia" w:cs="宋体" w:asciiTheme="minorEastAsia" w:hAnsiTheme="minorEastAsia"/>
                <w:bCs/>
                <w:szCs w:val="21"/>
              </w:rPr>
              <w:t>最后报价</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根据谈判小组要求，供应商须进行最后报价。</w:t>
            </w:r>
          </w:p>
          <w:p>
            <w:pPr>
              <w:autoSpaceDE w:val="0"/>
              <w:autoSpaceDN w:val="0"/>
              <w:adjustRightInd w:val="0"/>
              <w:spacing w:line="360" w:lineRule="auto"/>
              <w:ind w:right="-11"/>
              <w:rPr>
                <w:rFonts w:ascii="楷体" w:hAnsi="楷体" w:eastAsia="楷体" w:cs="仿宋_GB2312"/>
                <w:sz w:val="24"/>
                <w:szCs w:val="24"/>
                <w:lang w:val="zh-CN"/>
              </w:rPr>
            </w:pPr>
            <w:r>
              <w:rPr>
                <w:rFonts w:hint="eastAsia" w:ascii="楷体" w:hAnsi="楷体" w:eastAsia="楷体" w:cs="仿宋_GB2312"/>
                <w:sz w:val="24"/>
                <w:szCs w:val="24"/>
                <w:lang w:val="zh-CN"/>
              </w:rPr>
              <w:t>注：</w:t>
            </w:r>
          </w:p>
          <w:p>
            <w:pPr>
              <w:autoSpaceDE w:val="0"/>
              <w:autoSpaceDN w:val="0"/>
              <w:adjustRightInd w:val="0"/>
              <w:spacing w:line="360" w:lineRule="auto"/>
              <w:ind w:right="-11"/>
              <w:rPr>
                <w:rFonts w:ascii="楷体" w:hAnsi="楷体" w:eastAsia="楷体" w:cs="仿宋_GB2312"/>
                <w:sz w:val="24"/>
                <w:szCs w:val="24"/>
                <w:lang w:val="zh-CN"/>
              </w:rPr>
            </w:pPr>
            <w:r>
              <w:rPr>
                <w:rFonts w:hint="eastAsia" w:ascii="楷体" w:hAnsi="楷体" w:eastAsia="楷体" w:cs="仿宋_GB2312"/>
                <w:sz w:val="24"/>
                <w:szCs w:val="24"/>
                <w:lang w:val="zh-CN"/>
              </w:rPr>
              <w:t>谈判小组要求供应商提交一次最后报价时，在谈判小组规定时间内，供应商未提交最后报价则以其初次提交响应文件报价为最后报价</w:t>
            </w:r>
          </w:p>
          <w:p>
            <w:pPr>
              <w:autoSpaceDE w:val="0"/>
              <w:autoSpaceDN w:val="0"/>
              <w:adjustRightInd w:val="0"/>
              <w:spacing w:line="360" w:lineRule="auto"/>
              <w:ind w:right="-11"/>
              <w:rPr>
                <w:rFonts w:ascii="ˎ̥" w:hAnsi="ˎ̥"/>
              </w:rPr>
            </w:pP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7"/>
        <w:numPr>
          <w:ilvl w:val="0"/>
          <w:numId w:val="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7"/>
        <w:numPr>
          <w:ilvl w:val="0"/>
          <w:numId w:val="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w:t>
      </w:r>
    </w:p>
    <w:p>
      <w:pPr>
        <w:pStyle w:val="47"/>
        <w:autoSpaceDE w:val="0"/>
        <w:autoSpaceDN w:val="0"/>
        <w:spacing w:line="360" w:lineRule="auto"/>
        <w:ind w:left="780" w:firstLine="0" w:firstLineChars="0"/>
        <w:contextualSpacing/>
        <w:rPr>
          <w:rFonts w:cs="宋体" w:asciiTheme="minorEastAsia" w:hAnsiTheme="minorEastAsia"/>
          <w:kern w:val="0"/>
          <w:szCs w:val="21"/>
        </w:rPr>
      </w:pPr>
    </w:p>
    <w:p>
      <w:pPr>
        <w:pStyle w:val="47"/>
        <w:autoSpaceDE w:val="0"/>
        <w:autoSpaceDN w:val="0"/>
        <w:spacing w:line="360" w:lineRule="auto"/>
        <w:ind w:left="-424" w:leftChars="-202" w:firstLine="424" w:firstLineChars="201"/>
        <w:contextualSpacing/>
        <w:rPr>
          <w:rFonts w:cs="宋体" w:asciiTheme="minorEastAsia" w:hAnsiTheme="minorEastAsia"/>
          <w:b/>
          <w:kern w:val="0"/>
          <w:szCs w:val="21"/>
        </w:rPr>
      </w:pPr>
      <w:r>
        <w:rPr>
          <w:rFonts w:hint="eastAsia" w:cs="宋体" w:asciiTheme="minorEastAsia" w:hAnsiTheme="minorEastAsia"/>
          <w:b/>
          <w:kern w:val="0"/>
          <w:szCs w:val="21"/>
        </w:rPr>
        <w:t>2.定义</w:t>
      </w:r>
    </w:p>
    <w:p>
      <w:pPr>
        <w:pStyle w:val="47"/>
        <w:numPr>
          <w:ilvl w:val="0"/>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7"/>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ascii="宋体" w:hAnsi="宋体"/>
          <w:szCs w:val="21"/>
        </w:rPr>
        <w:t>系指“供应商须知前附表”中所述的组织本次采购的采购人。</w:t>
      </w:r>
    </w:p>
    <w:p>
      <w:pPr>
        <w:pStyle w:val="47"/>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“供应商”系指从采购人处按规定获取谈判文件，并按照谈判文件向采购人提交响应文件的供应商。</w:t>
      </w:r>
    </w:p>
    <w:p>
      <w:pPr>
        <w:pStyle w:val="47"/>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7"/>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7"/>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7"/>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“服务”系指谈判文件规定的供应商为完成采购项目所需承担的全部义务。</w:t>
      </w:r>
    </w:p>
    <w:p>
      <w:pPr>
        <w:pStyle w:val="47"/>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政府采购进口产品管理办法》(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418" w:hanging="1417" w:hangingChars="675"/>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1418" w:hanging="1417" w:hangingChars="675"/>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7"/>
        <w:numPr>
          <w:ilvl w:val="1"/>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000000" w:themeColor="text1"/>
          <w:kern w:val="0"/>
          <w:szCs w:val="21"/>
        </w:rPr>
        <w:t>★</w:t>
      </w:r>
      <w:r>
        <w:rPr>
          <w:rFonts w:hint="eastAsia" w:cs="宋体" w:asciiTheme="minorEastAsia" w:hAnsiTheme="minorEastAsia"/>
          <w:kern w:val="0"/>
          <w:szCs w:val="21"/>
        </w:rPr>
        <w:t>”的条款均系实质性要求条款。</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autoSpaceDE w:val="0"/>
        <w:autoSpaceDN w:val="0"/>
        <w:spacing w:line="360" w:lineRule="auto"/>
        <w:ind w:firstLine="0" w:firstLineChars="0"/>
        <w:contextualSpacing/>
        <w:rPr>
          <w:rFonts w:cs="宋体" w:asciiTheme="minorEastAsia" w:hAnsiTheme="minorEastAsia"/>
          <w:b/>
          <w:kern w:val="0"/>
          <w:szCs w:val="21"/>
        </w:rPr>
      </w:pPr>
      <w:r>
        <w:rPr>
          <w:rFonts w:hint="eastAsia" w:cs="宋体" w:asciiTheme="minorEastAsia" w:hAnsiTheme="minorEastAsia"/>
          <w:b/>
          <w:kern w:val="0"/>
          <w:szCs w:val="21"/>
        </w:rPr>
        <w:t>3.合格的供应商</w:t>
      </w:r>
    </w:p>
    <w:p>
      <w:pPr>
        <w:pStyle w:val="47"/>
        <w:numPr>
          <w:ilvl w:val="0"/>
          <w:numId w:val="1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在中华人民共和国境内注册，具有本项目生产、制造、供应或实施能力，符合、承认并承诺履行本谈判文件各项规定的法人、其他组织或者自然人。</w:t>
      </w:r>
    </w:p>
    <w:p>
      <w:pPr>
        <w:pStyle w:val="47"/>
        <w:numPr>
          <w:ilvl w:val="1"/>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符合本项目“投标邀请”和“供应商须知前附表”中规定的合格供应商所必须具备的条件。</w:t>
      </w:r>
    </w:p>
    <w:p>
      <w:pPr>
        <w:pStyle w:val="47"/>
        <w:numPr>
          <w:ilvl w:val="1"/>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政府采购活动中查询及使用供应商信用记录的具体要求为：供应商未被列入失信被执行人、税收违法黑名单、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7"/>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）、“中国社会组织政务服务平台”网站</w:t>
      </w:r>
      <w:r>
        <w:rPr>
          <w:rFonts w:hint="eastAsia" w:cs="宋体" w:asciiTheme="minorEastAsia" w:hAnsiTheme="minorEastAsia"/>
          <w:color w:val="000000" w:themeColor="text1"/>
          <w:kern w:val="0"/>
          <w:szCs w:val="21"/>
        </w:rPr>
        <w:t>（</w:t>
      </w:r>
      <w:r>
        <w:rPr>
          <w:color w:val="000000" w:themeColor="text1"/>
        </w:rPr>
        <w:fldChar w:fldCharType="begin"/>
      </w:r>
      <w:r>
        <w:rPr>
          <w:color w:val="000000" w:themeColor="text1"/>
        </w:rPr>
        <w:instrText xml:space="preserve"> HYPERLINK "http://www.chinanpo.gov.cn" </w:instrText>
      </w:r>
      <w:r>
        <w:rPr>
          <w:color w:val="000000" w:themeColor="text1"/>
        </w:rPr>
        <w:fldChar w:fldCharType="separate"/>
      </w:r>
      <w:r>
        <w:rPr>
          <w:rStyle w:val="26"/>
          <w:rFonts w:cs="宋体" w:asciiTheme="minorEastAsia" w:hAnsiTheme="minorEastAsia"/>
          <w:color w:val="000000" w:themeColor="text1"/>
          <w:szCs w:val="21"/>
        </w:rPr>
        <w:t>https://chinanpo.mca.gov.cn</w:t>
      </w:r>
      <w:r>
        <w:rPr>
          <w:rStyle w:val="26"/>
          <w:rFonts w:cs="宋体" w:asciiTheme="minorEastAsia" w:hAnsiTheme="minorEastAsia"/>
          <w:color w:val="000000" w:themeColor="text1"/>
          <w:szCs w:val="21"/>
        </w:rPr>
        <w:fldChar w:fldCharType="end"/>
      </w:r>
      <w:r>
        <w:rPr>
          <w:rFonts w:hint="eastAsia" w:cs="宋体" w:asciiTheme="minorEastAsia" w:hAnsiTheme="minorEastAsia"/>
          <w:kern w:val="0"/>
          <w:szCs w:val="21"/>
        </w:rPr>
        <w:t>）；</w:t>
      </w:r>
    </w:p>
    <w:p>
      <w:pPr>
        <w:pStyle w:val="47"/>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截止时间：同谈判响应截止时间；</w:t>
      </w:r>
    </w:p>
    <w:p>
      <w:pPr>
        <w:pStyle w:val="47"/>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信用信息查询记录和证据留存具体方式：经谈判小组确认的查询结果网页截图作为查询记录和证据，与其他采购文件一并保存；</w:t>
      </w:r>
    </w:p>
    <w:p>
      <w:pPr>
        <w:pStyle w:val="47"/>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信用信息的使用原则：经谈判小组认定的被列入失信被执行人、税收违法黑名单、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严重违法失信社会组织名单的供应商，将拒绝其参与本次政府采购活动。</w:t>
      </w:r>
    </w:p>
    <w:p>
      <w:pPr>
        <w:pStyle w:val="47"/>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供应商无须提供</w:t>
      </w:r>
      <w:r>
        <w:rPr>
          <w:rFonts w:hint="eastAsia" w:ascii="宋体" w:hAnsi="宋体" w:cs="微软雅黑"/>
          <w:bCs/>
          <w:szCs w:val="21"/>
        </w:rPr>
        <w:t>信用记录查询结果网页截屏。</w:t>
      </w:r>
      <w:r>
        <w:rPr>
          <w:rFonts w:hint="eastAsia" w:cs="宋体" w:asciiTheme="minorEastAsia" w:hAnsiTheme="minor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p>
      <w:pPr>
        <w:pStyle w:val="47"/>
        <w:numPr>
          <w:ilvl w:val="0"/>
          <w:numId w:val="14"/>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单位负责人为同一人或者存在直接控股、管理关系的不同供应商，不得同时参加本项目响应。违反规定的，相关响应均无效。</w:t>
      </w:r>
    </w:p>
    <w:p>
      <w:pPr>
        <w:pStyle w:val="47"/>
        <w:numPr>
          <w:ilvl w:val="0"/>
          <w:numId w:val="14"/>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7"/>
        <w:numPr>
          <w:ilvl w:val="0"/>
          <w:numId w:val="14"/>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“投标邀请”和“供应商须知前附表”规定接受联合体投标的，除应符合本章第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7"/>
        <w:numPr>
          <w:ilvl w:val="0"/>
          <w:numId w:val="15"/>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在响应文件中向采购人提交联合体协议书，明确联合体各方承担的工作和义务；</w:t>
      </w:r>
    </w:p>
    <w:p>
      <w:pPr>
        <w:pStyle w:val="47"/>
        <w:numPr>
          <w:ilvl w:val="0"/>
          <w:numId w:val="15"/>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47"/>
        <w:numPr>
          <w:ilvl w:val="0"/>
          <w:numId w:val="15"/>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招标人根据采购项目的特殊要求规定供应商特定条件的，联合体各方中至少应当有一方符合采购规定的特定条件；</w:t>
      </w:r>
    </w:p>
    <w:p>
      <w:pPr>
        <w:pStyle w:val="47"/>
        <w:numPr>
          <w:ilvl w:val="0"/>
          <w:numId w:val="15"/>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47"/>
        <w:numPr>
          <w:ilvl w:val="0"/>
          <w:numId w:val="15"/>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hint="eastAsia"/>
        </w:rPr>
        <w:t>。</w:t>
      </w:r>
    </w:p>
    <w:p>
      <w:pPr>
        <w:pStyle w:val="47"/>
        <w:numPr>
          <w:ilvl w:val="0"/>
          <w:numId w:val="1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7"/>
        <w:numPr>
          <w:ilvl w:val="0"/>
          <w:numId w:val="1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pPr>
        <w:pStyle w:val="47"/>
        <w:numPr>
          <w:ilvl w:val="0"/>
          <w:numId w:val="1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7"/>
        <w:numPr>
          <w:ilvl w:val="0"/>
          <w:numId w:val="1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的，该产品必须具有国家确定的认证机构出具的、处于有效期之内的节能产品认证证书，否则其投标将被拒绝。</w:t>
      </w:r>
    </w:p>
    <w:p>
      <w:pPr>
        <w:pStyle w:val="47"/>
        <w:numPr>
          <w:ilvl w:val="0"/>
          <w:numId w:val="1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59" w:name="baidusnap0"/>
      <w:bookmarkEnd w:id="59"/>
      <w:r>
        <w:rPr>
          <w:rFonts w:hint="eastAsia" w:cs="宋体" w:asciiTheme="minorEastAsia" w:hAnsiTheme="minorEastAsia"/>
          <w:kern w:val="0"/>
          <w:szCs w:val="21"/>
        </w:rPr>
        <w:t>《关于信息安全产品实施政府采购的通知》（财库[2010]48号）要求，供应商所投产品如被列入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本采购项目需要公开的有关信息，包括谈判公告、谈判文件澄清或修改公告、成交公告以及延长响应文件提交截止时间等与采购活动有关的通知，采购人将通过许昌市公安局网站</w:t>
      </w:r>
      <w:r>
        <w:rPr>
          <w:rFonts w:hint="eastAsia" w:cs="黑体" w:asciiTheme="minorEastAsia" w:hAnsiTheme="minorEastAsia"/>
          <w:b/>
          <w:bCs/>
          <w:color w:val="000000"/>
          <w:szCs w:val="21"/>
          <w:shd w:val="clear" w:color="auto" w:fill="FFFFFF"/>
        </w:rPr>
        <w:t>（</w:t>
      </w:r>
      <w:r>
        <w:rPr>
          <w:rFonts w:cs="黑体" w:asciiTheme="minorEastAsia" w:hAnsiTheme="minorEastAsia"/>
          <w:b/>
          <w:bCs/>
          <w:color w:val="000000"/>
          <w:szCs w:val="21"/>
          <w:shd w:val="clear" w:color="auto" w:fill="FFFFFF"/>
        </w:rPr>
        <w:t>http://gaj.xuchang.gov.cn</w:t>
      </w:r>
      <w:r>
        <w:rPr>
          <w:rFonts w:hint="eastAsia" w:cs="黑体" w:asciiTheme="minorEastAsia" w:hAnsiTheme="minorEastAsia"/>
          <w:b/>
          <w:bCs/>
          <w:color w:val="000000"/>
          <w:szCs w:val="21"/>
          <w:shd w:val="clear" w:color="auto" w:fill="FFFFFF"/>
        </w:rPr>
        <w:t>）</w:t>
      </w:r>
      <w:r>
        <w:rPr>
          <w:rFonts w:hint="eastAsia" w:cs="宋体" w:asciiTheme="minorEastAsia" w:hAnsiTheme="minorEastAsia"/>
          <w:kern w:val="0"/>
          <w:szCs w:val="21"/>
        </w:rPr>
        <w:t>公开发布。供应商在参与本采购项目采购活动期间，请及时关注以上媒体上的相关信息，供应商因没有及时关注而未能如期获取相关信息，及因此所产生的一切后果和责任，由供应商自行承担，采购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7"/>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本项目不收取代理费用。详见供应商须知前附表。</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本“供应商须知”的条款如与“采购邀请”、“采购需求”、“供应商须知前附表”和“对响应文件审查与评审”就同一内容的表述不一致的，以“采购邀请”、“ 采购需求”、“供应商须知前附表”和“对响应文件审查与评审”中规定的内容为准。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7"/>
        <w:numPr>
          <w:ilvl w:val="0"/>
          <w:numId w:val="1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（6）对响应文件审查与评审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（7）拟签订的合同文本</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7"/>
        <w:numPr>
          <w:ilvl w:val="0"/>
          <w:numId w:val="1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7"/>
        <w:numPr>
          <w:ilvl w:val="0"/>
          <w:numId w:val="1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pStyle w:val="47"/>
        <w:numPr>
          <w:ilvl w:val="0"/>
          <w:numId w:val="1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在谈判响应截止期前，无论出于何种原因，采购人可主动地或在解答供应商提出的澄清问题时对谈判文件进行修改。</w:t>
      </w:r>
    </w:p>
    <w:p>
      <w:pPr>
        <w:pStyle w:val="47"/>
        <w:numPr>
          <w:ilvl w:val="0"/>
          <w:numId w:val="1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采购人可以对已发出的谈判文件进行必要的澄清或者修改。澄清或者修改的内容可能影响响应文件编制的，采购人将在响应文件提交截止之日前，在许昌市公安局网站</w:t>
      </w:r>
      <w:r>
        <w:rPr>
          <w:rFonts w:hint="eastAsia" w:cs="黑体" w:asciiTheme="minorEastAsia" w:hAnsiTheme="minorEastAsia"/>
          <w:b/>
          <w:bCs/>
          <w:color w:val="000000"/>
          <w:szCs w:val="21"/>
          <w:shd w:val="clear" w:color="auto" w:fill="FFFFFF"/>
        </w:rPr>
        <w:t>（</w:t>
      </w:r>
      <w:r>
        <w:rPr>
          <w:rFonts w:cs="黑体" w:asciiTheme="minorEastAsia" w:hAnsiTheme="minorEastAsia"/>
          <w:b/>
          <w:bCs/>
          <w:color w:val="000000"/>
          <w:szCs w:val="21"/>
          <w:shd w:val="clear" w:color="auto" w:fill="FFFFFF"/>
        </w:rPr>
        <w:t>http://gaj.xuchang.gov.cn</w:t>
      </w:r>
      <w:r>
        <w:rPr>
          <w:rFonts w:hint="eastAsia" w:cs="黑体" w:asciiTheme="minorEastAsia" w:hAnsiTheme="minorEastAsia"/>
          <w:b/>
          <w:bCs/>
          <w:color w:val="000000"/>
          <w:szCs w:val="21"/>
          <w:shd w:val="clear" w:color="auto" w:fill="FFFFFF"/>
        </w:rPr>
        <w:t>）</w:t>
      </w:r>
      <w:r>
        <w:rPr>
          <w:rFonts w:hint="eastAsia" w:cs="宋体" w:asciiTheme="minorEastAsia" w:hAnsiTheme="minorEastAsia"/>
          <w:kern w:val="0"/>
          <w:szCs w:val="21"/>
        </w:rPr>
        <w:t>发布更正公告。</w:t>
      </w:r>
    </w:p>
    <w:p>
      <w:pPr>
        <w:pStyle w:val="47"/>
        <w:numPr>
          <w:ilvl w:val="0"/>
          <w:numId w:val="1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7"/>
        <w:numPr>
          <w:ilvl w:val="0"/>
          <w:numId w:val="1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如果因澄清或者修改有可能影响采购活动的，采购人将延期提交响应文件的截止时间，延期时间以公告内容中的要求为准。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7"/>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供应商提交的响应文件以及供应商与采购人就有关采购事宜的所有来往书面文件均应使用中文。除签名、盖章、专用名称等特殊情形外，以中文以外的文字表述的响应文件视同未提供。</w:t>
      </w:r>
    </w:p>
    <w:p>
      <w:pPr>
        <w:pStyle w:val="47"/>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7"/>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7"/>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7"/>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7"/>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pPr>
        <w:pStyle w:val="47"/>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7"/>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7"/>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7"/>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7"/>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采购人可根据实际情况，在原报价有效期截止之前，征询供应商是否同意延长响应文件的有效期，供应商同意延长的须作出书面答复。在延长的报价有效期内，供应商将不会被要求和允许修正其报价。</w:t>
      </w:r>
    </w:p>
    <w:p>
      <w:pPr>
        <w:pStyle w:val="47"/>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7"/>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7"/>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7"/>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7"/>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7"/>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为便于评审及规范统一，建议响应文件以A4幅面编上唯一的连贯页码，并在响应文件封面上注明：所投项目名称、项目编号、供应商名称、日期等字样。</w:t>
      </w:r>
    </w:p>
    <w:p>
      <w:pPr>
        <w:pStyle w:val="47"/>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7"/>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本项目不收取谈判保证金。</w:t>
      </w:r>
    </w:p>
    <w:p>
      <w:pPr>
        <w:pStyle w:val="47"/>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供应商应提供谈判承诺函。</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7"/>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四、响应文件的提交</w:t>
      </w: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7"/>
        <w:numPr>
          <w:ilvl w:val="0"/>
          <w:numId w:val="2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供应商必须在“采购邀请”和“供应商须知前附表”中规定的响应截止时间前，将响应文件按照开标地点进行签到提交。</w:t>
      </w:r>
      <w:r>
        <w:rPr>
          <w:rFonts w:hint="eastAsia" w:cs="微软雅黑"/>
          <w:color w:val="000000"/>
        </w:rPr>
        <w:t>在提交截止时间以后提交的响应文件，</w:t>
      </w:r>
      <w:r>
        <w:rPr>
          <w:rFonts w:hint="eastAsia" w:cs="宋体" w:asciiTheme="minorEastAsia" w:hAnsiTheme="minorEastAsia"/>
          <w:kern w:val="0"/>
          <w:szCs w:val="21"/>
        </w:rPr>
        <w:t>采购人</w:t>
      </w:r>
      <w:r>
        <w:rPr>
          <w:rFonts w:hint="eastAsia" w:cs="微软雅黑"/>
          <w:color w:val="000000"/>
        </w:rPr>
        <w:t>将予以拒绝。</w:t>
      </w:r>
    </w:p>
    <w:p>
      <w:pPr>
        <w:pStyle w:val="47"/>
        <w:numPr>
          <w:ilvl w:val="0"/>
          <w:numId w:val="2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谈判响应文件截止时间之后提交的响应文件，采购人将拒绝接收。</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7"/>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供应商在谈判响应截止时间前，对所提交的响应文件进行补充、修改或者撤回的，须书面通知采购人。</w:t>
      </w:r>
    </w:p>
    <w:p>
      <w:pPr>
        <w:pStyle w:val="47"/>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供应商补充、修改的内容并作为响应文件的组成部分。补充或修改应当按谈判文件要求签署、盖章、提交，并应注明“修改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7"/>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供应商不得在响应有效期内撤销响应文件，否则供应商将承担违背谈判承诺函的责任追究。</w:t>
      </w:r>
    </w:p>
    <w:p>
      <w:pPr>
        <w:autoSpaceDE w:val="0"/>
        <w:autoSpaceDN w:val="0"/>
        <w:spacing w:line="360" w:lineRule="auto"/>
        <w:ind w:left="420"/>
        <w:contextualSpacing/>
        <w:rPr>
          <w:rFonts w:cs="宋体" w:asciiTheme="minorEastAsia" w:hAnsiTheme="minorEastAsia"/>
          <w:kern w:val="0"/>
          <w:szCs w:val="21"/>
        </w:rPr>
      </w:pPr>
    </w:p>
    <w:p>
      <w:pPr>
        <w:pStyle w:val="47"/>
        <w:numPr>
          <w:ilvl w:val="0"/>
          <w:numId w:val="12"/>
        </w:numPr>
        <w:autoSpaceDE w:val="0"/>
        <w:autoSpaceDN w:val="0"/>
        <w:spacing w:line="360" w:lineRule="auto"/>
        <w:ind w:left="993" w:hanging="993"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除供应商须知前附表另有规定外，供应商所提交的响应文件不予退还。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7"/>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响应文件拆封</w:t>
      </w:r>
    </w:p>
    <w:p>
      <w:pPr>
        <w:pStyle w:val="47"/>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采购人将按谈判文件规定的</w:t>
      </w: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和地点拆封响应文件。</w:t>
      </w:r>
    </w:p>
    <w:p>
      <w:pPr>
        <w:pStyle w:val="47"/>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供应商不足3家的，本项目谈判活动终止。（如符合有关规定情形的</w:t>
      </w:r>
      <w:r>
        <w:rPr>
          <w:rFonts w:hint="eastAsia" w:ascii="Arial" w:hAnsi="Arial" w:cs="Arial"/>
          <w:color w:val="333333"/>
          <w:szCs w:val="21"/>
          <w:shd w:val="clear" w:color="auto" w:fill="FFFFFF"/>
        </w:rPr>
        <w:t>，</w:t>
      </w:r>
      <w:r>
        <w:rPr>
          <w:rFonts w:hint="eastAsia" w:cs="宋体" w:asciiTheme="minorEastAsia" w:hAnsiTheme="minorEastAsia"/>
          <w:kern w:val="0"/>
          <w:szCs w:val="21"/>
        </w:rPr>
        <w:t>供应商最低数量可以为两家）</w:t>
      </w:r>
    </w:p>
    <w:p>
      <w:pPr>
        <w:pStyle w:val="47"/>
        <w:numPr>
          <w:ilvl w:val="1"/>
          <w:numId w:val="29"/>
        </w:numPr>
        <w:autoSpaceDE w:val="0"/>
        <w:autoSpaceDN w:val="0"/>
        <w:spacing w:line="360" w:lineRule="auto"/>
        <w:ind w:left="0" w:firstLine="0" w:firstLineChars="0"/>
        <w:contextualSpacing/>
        <w:jc w:val="left"/>
        <w:rPr>
          <w:rFonts w:cs="宋体" w:asciiTheme="minorEastAsia" w:hAnsiTheme="minorEastAsia"/>
          <w:kern w:val="0"/>
          <w:szCs w:val="21"/>
        </w:rPr>
      </w:pPr>
      <w:r>
        <w:rPr>
          <w:rFonts w:hint="eastAsia" w:cs="宋体" w:asciiTheme="minorEastAsia" w:hAnsiTheme="minorEastAsia"/>
          <w:kern w:val="0"/>
          <w:szCs w:val="21"/>
        </w:rPr>
        <w:t>供应商对拆封过程有疑义，以及认为采购人相关工作人员有需要回避的情形的，应当场提出询问或者回避申请。采购人、采购代理机构对供应商提出的询问或者回避申请应当及时处理。</w:t>
      </w:r>
    </w:p>
    <w:p>
      <w:pPr>
        <w:pStyle w:val="47"/>
        <w:numPr>
          <w:ilvl w:val="0"/>
          <w:numId w:val="3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7"/>
        <w:numPr>
          <w:ilvl w:val="0"/>
          <w:numId w:val="3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采购人将依照相关规定组建谈判小组。</w:t>
      </w:r>
    </w:p>
    <w:p>
      <w:pPr>
        <w:pStyle w:val="47"/>
        <w:numPr>
          <w:ilvl w:val="0"/>
          <w:numId w:val="3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采购人将依照相关规定组建谈判小组，谈判小组成员人数应当为</w:t>
      </w:r>
      <w:r>
        <w:rPr>
          <w:rFonts w:ascii="ˎ̥" w:hAnsi="ˎ̥"/>
        </w:rPr>
        <w:t>3人以上单数组成</w:t>
      </w:r>
      <w:r>
        <w:rPr>
          <w:rFonts w:hint="eastAsia" w:cs="宋体" w:asciiTheme="minorEastAsia" w:hAnsiTheme="minorEastAsia"/>
          <w:kern w:val="0"/>
          <w:szCs w:val="21"/>
        </w:rPr>
        <w:t>。</w:t>
      </w:r>
    </w:p>
    <w:p>
      <w:pPr>
        <w:pStyle w:val="47"/>
        <w:numPr>
          <w:ilvl w:val="0"/>
          <w:numId w:val="3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pStyle w:val="47"/>
        <w:numPr>
          <w:ilvl w:val="0"/>
          <w:numId w:val="32"/>
        </w:numPr>
        <w:autoSpaceDE w:val="0"/>
        <w:autoSpaceDN w:val="0"/>
        <w:spacing w:line="360" w:lineRule="auto"/>
        <w:ind w:hanging="1369" w:firstLineChars="0"/>
        <w:contextualSpacing/>
        <w:rPr>
          <w:rFonts w:ascii="ˎ̥" w:hAnsi="ˎ̥"/>
        </w:rPr>
      </w:pPr>
      <w:r>
        <w:rPr>
          <w:rFonts w:hint="eastAsia" w:ascii="ˎ̥" w:hAnsi="ˎ̥"/>
        </w:rPr>
        <w:t>参加采购活动前三年内与供应商存在劳动关系,或者担任过供应商的董事、监事或者是供应商的控股股东或实际控制人；</w:t>
      </w:r>
    </w:p>
    <w:p>
      <w:pPr>
        <w:pStyle w:val="47"/>
        <w:numPr>
          <w:ilvl w:val="0"/>
          <w:numId w:val="32"/>
        </w:numPr>
        <w:autoSpaceDE w:val="0"/>
        <w:autoSpaceDN w:val="0"/>
        <w:spacing w:line="360" w:lineRule="auto"/>
        <w:ind w:hanging="1369" w:firstLineChars="0"/>
        <w:contextualSpacing/>
        <w:rPr>
          <w:rFonts w:ascii="ˎ̥" w:hAnsi="ˎ̥"/>
        </w:rPr>
      </w:pPr>
      <w:r>
        <w:rPr>
          <w:rFonts w:hint="eastAsia" w:ascii="ˎ̥" w:hAnsi="ˎ̥"/>
        </w:rPr>
        <w:t>与供应商的法定代表人或者负责人有夫妻、直系血亲、三代以内旁系血亲或者近姻亲关系；</w:t>
      </w:r>
    </w:p>
    <w:p>
      <w:pPr>
        <w:pStyle w:val="47"/>
        <w:numPr>
          <w:ilvl w:val="0"/>
          <w:numId w:val="32"/>
        </w:numPr>
        <w:autoSpaceDE w:val="0"/>
        <w:autoSpaceDN w:val="0"/>
        <w:spacing w:line="360" w:lineRule="auto"/>
        <w:ind w:hanging="1369" w:firstLineChars="0"/>
        <w:contextualSpacing/>
        <w:rPr>
          <w:rFonts w:ascii="ˎ̥" w:hAnsi="ˎ̥"/>
        </w:rPr>
      </w:pPr>
      <w:r>
        <w:rPr>
          <w:rFonts w:hint="eastAsia" w:ascii="ˎ̥" w:hAnsi="ˎ̥"/>
        </w:rPr>
        <w:t>与供应商有其他可能影响采购活动公平、公正进行的关系。</w:t>
      </w:r>
    </w:p>
    <w:p>
      <w:pPr>
        <w:pStyle w:val="47"/>
        <w:numPr>
          <w:ilvl w:val="0"/>
          <w:numId w:val="3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评审专家发现本人与参加采购活动的供应商有利害关系的,应当主动提出回避。采购人发现评审专家与参加采购活动的供应商有利害关系的,应当要求其回避。</w:t>
      </w:r>
    </w:p>
    <w:p>
      <w:pPr>
        <w:pStyle w:val="47"/>
        <w:numPr>
          <w:ilvl w:val="0"/>
          <w:numId w:val="3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采购部门代表不得担任谈判小组组长。</w:t>
      </w:r>
    </w:p>
    <w:p>
      <w:pPr>
        <w:pStyle w:val="47"/>
        <w:numPr>
          <w:ilvl w:val="0"/>
          <w:numId w:val="3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7"/>
        <w:numPr>
          <w:ilvl w:val="0"/>
          <w:numId w:val="3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7"/>
        <w:numPr>
          <w:ilvl w:val="0"/>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7"/>
        <w:autoSpaceDE w:val="0"/>
        <w:autoSpaceDN w:val="0"/>
        <w:spacing w:line="360" w:lineRule="auto"/>
        <w:ind w:left="964" w:firstLine="0" w:firstLineChars="0"/>
        <w:contextualSpacing/>
        <w:rPr>
          <w:rFonts w:cs="宋体" w:asciiTheme="minorEastAsia" w:hAnsiTheme="minorEastAsia"/>
          <w:vanish/>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7"/>
        <w:numPr>
          <w:ilvl w:val="0"/>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符合性审查：依据谈判文件的规定，从响应文件的有效性、完整性和对谈判文件的响应程度进行审查，以确定是否对谈判文件的全部实质性要求作出响应。</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3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7"/>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rPr>
        <w:t>。</w:t>
      </w:r>
    </w:p>
    <w:p>
      <w:pPr>
        <w:pStyle w:val="47"/>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。供应商的澄清、说明或者补正不得超出</w:t>
      </w:r>
      <w:r>
        <w:rPr>
          <w:rFonts w:hint="eastAsia" w:cs="宋体" w:asciiTheme="minorEastAsia" w:hAnsiTheme="minorEastAsia"/>
          <w:kern w:val="0"/>
          <w:szCs w:val="21"/>
        </w:rPr>
        <w:t>投标文件的范围或者改变响应文件的实质性内容。</w:t>
      </w:r>
    </w:p>
    <w:p>
      <w:pPr>
        <w:pStyle w:val="47"/>
        <w:numPr>
          <w:ilvl w:val="0"/>
          <w:numId w:val="3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3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7"/>
        <w:numPr>
          <w:ilvl w:val="1"/>
          <w:numId w:val="3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7"/>
        <w:numPr>
          <w:ilvl w:val="1"/>
          <w:numId w:val="3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7"/>
        <w:numPr>
          <w:ilvl w:val="1"/>
          <w:numId w:val="3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3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7"/>
        <w:numPr>
          <w:ilvl w:val="0"/>
          <w:numId w:val="3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7"/>
        <w:numPr>
          <w:ilvl w:val="0"/>
          <w:numId w:val="38"/>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未按照谈判文件的规定提交谈判承诺函的；</w:t>
      </w:r>
    </w:p>
    <w:p>
      <w:pPr>
        <w:pStyle w:val="47"/>
        <w:numPr>
          <w:ilvl w:val="0"/>
          <w:numId w:val="38"/>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响应文件未按谈判文件要求签署、盖章的；</w:t>
      </w:r>
    </w:p>
    <w:p>
      <w:pPr>
        <w:pStyle w:val="47"/>
        <w:numPr>
          <w:ilvl w:val="0"/>
          <w:numId w:val="38"/>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不具备谈判文件中规定的资格要求的；</w:t>
      </w:r>
    </w:p>
    <w:p>
      <w:pPr>
        <w:pStyle w:val="47"/>
        <w:numPr>
          <w:ilvl w:val="0"/>
          <w:numId w:val="38"/>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报价超过谈判文件中规定的预算金额的；</w:t>
      </w:r>
    </w:p>
    <w:p>
      <w:pPr>
        <w:pStyle w:val="47"/>
        <w:numPr>
          <w:ilvl w:val="0"/>
          <w:numId w:val="38"/>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响应文件含有采购人不能接受的附加条件的。</w:t>
      </w:r>
    </w:p>
    <w:p>
      <w:pPr>
        <w:pStyle w:val="47"/>
        <w:numPr>
          <w:ilvl w:val="0"/>
          <w:numId w:val="3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根据《河南省财政厅关于防范供应商串通投标促进政府采购公平竞争的通知》（豫财购﹝2021﹞6号）要求，参与同一个标段的供应商存在下列情形之一的，其投标文件无效：</w:t>
      </w:r>
    </w:p>
    <w:p>
      <w:pPr>
        <w:pStyle w:val="47"/>
        <w:numPr>
          <w:ilvl w:val="0"/>
          <w:numId w:val="3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不同供应商的响应文件由同一电子设备打印、复印；</w:t>
      </w:r>
    </w:p>
    <w:p>
      <w:pPr>
        <w:pStyle w:val="47"/>
        <w:numPr>
          <w:ilvl w:val="0"/>
          <w:numId w:val="4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不同供应商的响应文件由同一人送达或者分发，或者不同供应商联系人为同一人或不同联系人的联系电话一致的；</w:t>
      </w:r>
    </w:p>
    <w:p>
      <w:pPr>
        <w:pStyle w:val="47"/>
        <w:numPr>
          <w:ilvl w:val="0"/>
          <w:numId w:val="4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不同供应商的响应文件的内容存在两处以上细节错误一致；</w:t>
      </w:r>
    </w:p>
    <w:p>
      <w:pPr>
        <w:pStyle w:val="47"/>
        <w:numPr>
          <w:ilvl w:val="0"/>
          <w:numId w:val="4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不同供应商的法定代表人、委托代理人、项目经理、项目负责人等由同一个单位缴纳社会保险或者领取报酬的；</w:t>
      </w:r>
    </w:p>
    <w:p>
      <w:pPr>
        <w:pStyle w:val="47"/>
        <w:numPr>
          <w:ilvl w:val="0"/>
          <w:numId w:val="4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不同供应商响应文件中法定代表人或者负责人签字出自同一人之手；</w:t>
      </w:r>
    </w:p>
    <w:p>
      <w:pPr>
        <w:pStyle w:val="47"/>
        <w:numPr>
          <w:ilvl w:val="0"/>
          <w:numId w:val="4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其它涉嫌串通的情形。</w:t>
      </w:r>
    </w:p>
    <w:p>
      <w:pPr>
        <w:pStyle w:val="47"/>
        <w:numPr>
          <w:ilvl w:val="0"/>
          <w:numId w:val="3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7"/>
        <w:numPr>
          <w:ilvl w:val="0"/>
          <w:numId w:val="45"/>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不同供应商的响应文件由同一单位或者个人编制；</w:t>
      </w:r>
    </w:p>
    <w:p>
      <w:pPr>
        <w:pStyle w:val="47"/>
        <w:numPr>
          <w:ilvl w:val="0"/>
          <w:numId w:val="4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不同供应商委托同一单位或者个人办理响应事宜；</w:t>
      </w:r>
    </w:p>
    <w:p>
      <w:pPr>
        <w:pStyle w:val="47"/>
        <w:numPr>
          <w:ilvl w:val="0"/>
          <w:numId w:val="47"/>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不同供应商的响应文件载明的项目管理成员或者联系人员为同一人；</w:t>
      </w:r>
    </w:p>
    <w:p>
      <w:pPr>
        <w:pStyle w:val="47"/>
        <w:numPr>
          <w:ilvl w:val="0"/>
          <w:numId w:val="48"/>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不同供应商的响应文件异常一致或者投标报价呈规律性差异；</w:t>
      </w:r>
    </w:p>
    <w:p>
      <w:pPr>
        <w:pStyle w:val="47"/>
        <w:numPr>
          <w:ilvl w:val="0"/>
          <w:numId w:val="49"/>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不同供应商的响应文件相互混装。</w:t>
      </w:r>
    </w:p>
    <w:p>
      <w:pPr>
        <w:pStyle w:val="47"/>
        <w:numPr>
          <w:ilvl w:val="0"/>
          <w:numId w:val="37"/>
        </w:numPr>
        <w:autoSpaceDE w:val="0"/>
        <w:autoSpaceDN w:val="0"/>
        <w:adjustRightInd w:val="0"/>
        <w:spacing w:line="360" w:lineRule="auto"/>
        <w:ind w:firstLineChars="0"/>
        <w:contextualSpacing/>
        <w:rPr>
          <w:rFonts w:ascii="ˎ̥" w:hAnsi="ˎ̥"/>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7"/>
        <w:numPr>
          <w:ilvl w:val="0"/>
          <w:numId w:val="3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法律、法规和响应文件规定的其他无效情形。</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3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7"/>
        <w:numPr>
          <w:ilvl w:val="0"/>
          <w:numId w:val="50"/>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7"/>
        <w:numPr>
          <w:ilvl w:val="0"/>
          <w:numId w:val="50"/>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7"/>
        <w:numPr>
          <w:ilvl w:val="0"/>
          <w:numId w:val="5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微软雅黑"/>
          <w:color w:val="000000"/>
        </w:rPr>
        <w:t>在谈判中，谈判的任何一方不得透露与谈判有关的其他供应商的技术资料、价格和其他信息。</w:t>
      </w:r>
    </w:p>
    <w:p>
      <w:pPr>
        <w:pStyle w:val="47"/>
        <w:numPr>
          <w:ilvl w:val="0"/>
          <w:numId w:val="50"/>
        </w:numPr>
        <w:autoSpaceDE w:val="0"/>
        <w:autoSpaceDN w:val="0"/>
        <w:spacing w:line="360" w:lineRule="auto"/>
        <w:ind w:left="993" w:hanging="993" w:firstLineChars="0"/>
        <w:contextualSpacing/>
        <w:rPr>
          <w:rFonts w:cs="微软雅黑"/>
          <w:color w:val="000000"/>
        </w:rPr>
      </w:pPr>
      <w:r>
        <w:rPr>
          <w:rFonts w:cs="微软雅黑"/>
          <w:color w:val="000000"/>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cs="微软雅黑"/>
          <w:color w:val="000000"/>
        </w:rPr>
        <w:t>。</w:t>
      </w:r>
      <w:r>
        <w:rPr>
          <w:rFonts w:cs="微软雅黑"/>
          <w:color w:val="000000"/>
        </w:rPr>
        <w:t>对谈判文件作出的实质性变动是谈判文件的有效组成部分，谈判小组应当及时以书面形式同时通知所有参加谈判的供应商</w:t>
      </w:r>
      <w:r>
        <w:rPr>
          <w:rFonts w:hint="eastAsia" w:cs="微软雅黑"/>
          <w:color w:val="000000"/>
        </w:rPr>
        <w:t>。</w:t>
      </w:r>
    </w:p>
    <w:p>
      <w:pPr>
        <w:pStyle w:val="47"/>
        <w:numPr>
          <w:ilvl w:val="0"/>
          <w:numId w:val="50"/>
        </w:numPr>
        <w:autoSpaceDE w:val="0"/>
        <w:autoSpaceDN w:val="0"/>
        <w:spacing w:line="360" w:lineRule="auto"/>
        <w:ind w:left="964" w:hanging="993" w:firstLineChars="0"/>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7"/>
        <w:numPr>
          <w:ilvl w:val="0"/>
          <w:numId w:val="50"/>
        </w:numPr>
        <w:autoSpaceDE w:val="0"/>
        <w:autoSpaceDN w:val="0"/>
        <w:spacing w:line="360" w:lineRule="auto"/>
        <w:ind w:left="964" w:hanging="993"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r>
        <w:rPr>
          <w:rFonts w:hint="eastAsia" w:cs="宋体" w:asciiTheme="minorEastAsia" w:hAnsiTheme="minorEastAsia"/>
          <w:kern w:val="0"/>
          <w:szCs w:val="21"/>
        </w:rPr>
        <w:t>（如符合有关规定</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pStyle w:val="47"/>
        <w:numPr>
          <w:ilvl w:val="0"/>
          <w:numId w:val="50"/>
        </w:numPr>
        <w:autoSpaceDE w:val="0"/>
        <w:autoSpaceDN w:val="0"/>
        <w:spacing w:line="360" w:lineRule="auto"/>
        <w:ind w:left="964" w:hanging="993" w:firstLineChars="0"/>
        <w:contextualSpacing/>
        <w:rPr>
          <w:rFonts w:ascii="ˎ̥" w:hAnsi="ˎ̥"/>
        </w:rPr>
      </w:pPr>
      <w:r>
        <w:rPr>
          <w:rFonts w:ascii="ˎ̥" w:hAnsi="ˎ̥"/>
        </w:rPr>
        <w:t>最后报价是供应商响应文件的有效组成部分。</w:t>
      </w:r>
    </w:p>
    <w:p>
      <w:pPr>
        <w:pStyle w:val="47"/>
        <w:numPr>
          <w:ilvl w:val="0"/>
          <w:numId w:val="50"/>
        </w:numPr>
        <w:autoSpaceDE w:val="0"/>
        <w:autoSpaceDN w:val="0"/>
        <w:spacing w:line="360" w:lineRule="auto"/>
        <w:ind w:left="964" w:hanging="993" w:firstLineChars="0"/>
        <w:contextualSpacing/>
        <w:rPr>
          <w:rFonts w:ascii="ˎ̥" w:hAnsi="ˎ̥"/>
        </w:rPr>
      </w:pPr>
      <w:r>
        <w:rPr>
          <w:rFonts w:ascii="ˎ̥" w:hAnsi="ˎ̥"/>
        </w:rPr>
        <w:t>已提交响应文件的供应商，在提交最后报价之前，可以根据谈判情况退出谈判</w:t>
      </w:r>
      <w:r>
        <w:rPr>
          <w:rFonts w:hint="eastAsia" w:ascii="ˎ̥" w:hAnsi="ˎ̥"/>
        </w:rPr>
        <w:t>。</w:t>
      </w:r>
    </w:p>
    <w:p>
      <w:pPr>
        <w:pStyle w:val="47"/>
        <w:numPr>
          <w:ilvl w:val="0"/>
          <w:numId w:val="3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7"/>
        <w:autoSpaceDE w:val="0"/>
        <w:autoSpaceDN w:val="0"/>
        <w:spacing w:line="360" w:lineRule="auto"/>
        <w:ind w:left="991" w:leftChars="47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谈判小组应当从质量和服务均能满足采购文件实质性响应要求的供应商中，按照最后报价最低的原则</w:t>
      </w:r>
      <w:r>
        <w:rPr>
          <w:rFonts w:hint="eastAsia" w:ascii="ˎ̥" w:hAnsi="ˎ̥"/>
        </w:rPr>
        <w:t>推荐</w:t>
      </w:r>
      <w:r>
        <w:rPr>
          <w:rFonts w:ascii="ˎ̥" w:hAnsi="ˎ̥"/>
        </w:rPr>
        <w:t>成交候选人，并编写评审报告。</w:t>
      </w:r>
    </w:p>
    <w:p>
      <w:pPr>
        <w:tabs>
          <w:tab w:val="left" w:pos="1260"/>
        </w:tabs>
        <w:autoSpaceDE w:val="0"/>
        <w:autoSpaceDN w:val="0"/>
        <w:spacing w:line="360" w:lineRule="auto"/>
        <w:contextualSpacing/>
        <w:rPr>
          <w:rFonts w:cs="仿宋_GB2312" w:asciiTheme="minorEastAsia" w:hAnsiTheme="minorEastAsia"/>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7"/>
        <w:numPr>
          <w:ilvl w:val="0"/>
          <w:numId w:val="3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7"/>
        <w:numPr>
          <w:ilvl w:val="0"/>
          <w:numId w:val="51"/>
        </w:numPr>
        <w:autoSpaceDE w:val="0"/>
        <w:autoSpaceDN w:val="0"/>
        <w:spacing w:line="360" w:lineRule="auto"/>
        <w:ind w:left="964" w:firstLine="0" w:firstLineChars="0"/>
        <w:contextualSpacing/>
        <w:rPr>
          <w:rFonts w:cs="宋体" w:asciiTheme="minorEastAsia" w:hAnsiTheme="minorEastAsia"/>
          <w:kern w:val="0"/>
          <w:szCs w:val="21"/>
        </w:rPr>
      </w:pPr>
      <w:r>
        <w:rPr>
          <w:rFonts w:ascii="ˎ̥" w:hAnsi="ˎ̥"/>
        </w:rPr>
        <w:t>采购</w:t>
      </w:r>
      <w:r>
        <w:rPr>
          <w:rFonts w:hint="eastAsia" w:ascii="ˎ̥" w:hAnsi="ˎ̥"/>
        </w:rPr>
        <w:t>部门</w:t>
      </w:r>
      <w:r>
        <w:rPr>
          <w:rFonts w:ascii="ˎ̥" w:hAnsi="ˎ̥"/>
        </w:rPr>
        <w:t>在收到评审报</w:t>
      </w:r>
      <w:r>
        <w:rPr>
          <w:rFonts w:hint="eastAsia" w:ascii="ˎ̥" w:hAnsi="ˎ̥"/>
        </w:rPr>
        <w:t>告</w:t>
      </w:r>
      <w:r>
        <w:rPr>
          <w:rFonts w:hint="eastAsia" w:cs="宋体" w:asciiTheme="minorEastAsia" w:hAnsiTheme="minorEastAsia"/>
          <w:kern w:val="0"/>
          <w:szCs w:val="21"/>
        </w:rPr>
        <w:t>之后</w:t>
      </w:r>
      <w:r>
        <w:rPr>
          <w:rFonts w:ascii="ˎ̥" w:hAnsi="ˎ̥"/>
        </w:rPr>
        <w:t>，</w:t>
      </w:r>
      <w:r>
        <w:rPr>
          <w:rFonts w:hint="eastAsia" w:ascii="ˎ̥" w:hAnsi="ˎ̥"/>
        </w:rPr>
        <w:t>依照规定</w:t>
      </w:r>
      <w:r>
        <w:rPr>
          <w:rFonts w:ascii="ˎ̥" w:hAnsi="ˎ̥"/>
        </w:rPr>
        <w:t>确定成交供应商</w:t>
      </w:r>
      <w:r>
        <w:rPr>
          <w:rFonts w:hint="eastAsia" w:cs="宋体" w:asciiTheme="minorEastAsia" w:hAnsiTheme="minorEastAsia"/>
          <w:kern w:val="0"/>
          <w:szCs w:val="21"/>
        </w:rPr>
        <w:t>。</w:t>
      </w:r>
    </w:p>
    <w:p>
      <w:pPr>
        <w:pStyle w:val="47"/>
        <w:numPr>
          <w:ilvl w:val="0"/>
          <w:numId w:val="3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终止采购活动的情形</w:t>
      </w:r>
    </w:p>
    <w:p>
      <w:pPr>
        <w:pStyle w:val="47"/>
        <w:autoSpaceDE w:val="0"/>
        <w:autoSpaceDN w:val="0"/>
        <w:spacing w:line="360" w:lineRule="auto"/>
        <w:ind w:left="993" w:firstLine="0" w:firstLineChars="0"/>
        <w:contextualSpacing/>
        <w:rPr>
          <w:rFonts w:cs="宋体" w:asciiTheme="minorEastAsia" w:hAnsiTheme="minorEastAsia"/>
          <w:vanish/>
          <w:kern w:val="0"/>
          <w:szCs w:val="21"/>
        </w:rPr>
      </w:pPr>
      <w:r>
        <w:rPr>
          <w:rFonts w:hint="eastAsia" w:cs="微软雅黑"/>
        </w:rPr>
        <w:t>在谈判采购中，出现下列情形之一的，采购人应当终止竞争性谈判采购活动，发布项目终止公告并说明原因，重新开展采购活动：</w:t>
      </w:r>
    </w:p>
    <w:p>
      <w:pPr>
        <w:pStyle w:val="47"/>
        <w:numPr>
          <w:ilvl w:val="0"/>
          <w:numId w:val="52"/>
        </w:numPr>
        <w:autoSpaceDE w:val="0"/>
        <w:autoSpaceDN w:val="0"/>
        <w:spacing w:line="360" w:lineRule="auto"/>
        <w:ind w:left="993" w:hanging="993" w:firstLineChars="0"/>
        <w:contextualSpacing/>
        <w:rPr>
          <w:rFonts w:asciiTheme="minorEastAsia" w:hAnsiTheme="minorEastAsia"/>
        </w:rPr>
      </w:pPr>
      <w:r>
        <w:rPr>
          <w:rFonts w:asciiTheme="minorEastAsia" w:hAnsiTheme="minorEastAsia"/>
        </w:rPr>
        <w:t>因情况变化，不再符合规定的竞争性谈判采购方式适用情形的；</w:t>
      </w:r>
    </w:p>
    <w:p>
      <w:pPr>
        <w:pStyle w:val="47"/>
        <w:numPr>
          <w:ilvl w:val="0"/>
          <w:numId w:val="52"/>
        </w:numPr>
        <w:autoSpaceDE w:val="0"/>
        <w:autoSpaceDN w:val="0"/>
        <w:spacing w:line="360" w:lineRule="auto"/>
        <w:ind w:left="993" w:hanging="993" w:firstLineChars="0"/>
        <w:contextualSpacing/>
        <w:rPr>
          <w:rFonts w:asciiTheme="minorEastAsia" w:hAnsiTheme="minorEastAsia"/>
        </w:rPr>
      </w:pPr>
      <w:r>
        <w:rPr>
          <w:rFonts w:asciiTheme="minorEastAsia" w:hAnsiTheme="minorEastAsia"/>
        </w:rPr>
        <w:t>出现影响采购公正的违法、违规行为的</w:t>
      </w:r>
      <w:r>
        <w:rPr>
          <w:rFonts w:hint="eastAsia" w:asciiTheme="minorEastAsia" w:hAnsiTheme="minorEastAsia"/>
        </w:rPr>
        <w:t>；</w:t>
      </w:r>
    </w:p>
    <w:p>
      <w:pPr>
        <w:pStyle w:val="47"/>
        <w:numPr>
          <w:ilvl w:val="0"/>
          <w:numId w:val="52"/>
        </w:numPr>
        <w:autoSpaceDE w:val="0"/>
        <w:autoSpaceDN w:val="0"/>
        <w:spacing w:line="360" w:lineRule="auto"/>
        <w:ind w:left="993" w:hanging="993" w:firstLineChars="0"/>
        <w:contextualSpacing/>
        <w:rPr>
          <w:rFonts w:asciiTheme="minorEastAsia" w:hAnsiTheme="minorEastAsia"/>
        </w:rPr>
      </w:pPr>
      <w:r>
        <w:rPr>
          <w:rFonts w:hint="eastAsia" w:asciiTheme="minorEastAsia" w:hAnsiTheme="minorEastAsia"/>
        </w:rPr>
        <w:t>在采购过程中符合竞争要求的供应商或者报价未超过采购预算的供应商不足3家的，但符合有关规定的情形除外。</w:t>
      </w:r>
    </w:p>
    <w:p>
      <w:pPr>
        <w:pStyle w:val="47"/>
        <w:autoSpaceDE w:val="0"/>
        <w:autoSpaceDN w:val="0"/>
        <w:spacing w:line="360" w:lineRule="auto"/>
        <w:ind w:left="964" w:firstLine="0" w:firstLineChars="0"/>
        <w:contextualSpacing/>
        <w:rPr>
          <w:rFonts w:ascii="ˎ̥" w:hAnsi="ˎ̥"/>
        </w:rPr>
      </w:pPr>
    </w:p>
    <w:p>
      <w:pPr>
        <w:pStyle w:val="47"/>
        <w:numPr>
          <w:ilvl w:val="0"/>
          <w:numId w:val="5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7"/>
        <w:numPr>
          <w:ilvl w:val="0"/>
          <w:numId w:val="5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采购人确认成交人后，向成交供应商发出成交通告。</w:t>
      </w:r>
    </w:p>
    <w:p>
      <w:pPr>
        <w:pStyle w:val="47"/>
        <w:numPr>
          <w:ilvl w:val="0"/>
          <w:numId w:val="5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成交通告发出后，采购人不得违法改变成交结果，成交供应商无正当理由不得放弃成交。</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5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7"/>
        <w:numPr>
          <w:ilvl w:val="0"/>
          <w:numId w:val="5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供应商认为谈判文件、采购过程和成交结果使自己的权益受到损害的，可以向采购人提出质疑。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7"/>
        <w:numPr>
          <w:ilvl w:val="0"/>
          <w:numId w:val="5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对谈判文件提出质疑的，供应商应一次性提出</w:t>
      </w:r>
      <w:r>
        <w:rPr>
          <w:rFonts w:hint="eastAsia" w:cs="宋体" w:asciiTheme="minorEastAsia" w:hAnsiTheme="minorEastAsia"/>
          <w:color w:val="FF0000"/>
          <w:kern w:val="0"/>
          <w:szCs w:val="21"/>
        </w:rPr>
        <w:t>；</w:t>
      </w:r>
    </w:p>
    <w:p>
      <w:pPr>
        <w:pStyle w:val="47"/>
        <w:numPr>
          <w:ilvl w:val="0"/>
          <w:numId w:val="58"/>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对采购过程提出质疑的，应一次性提出；</w:t>
      </w:r>
    </w:p>
    <w:p>
      <w:pPr>
        <w:pStyle w:val="47"/>
        <w:numPr>
          <w:ilvl w:val="0"/>
          <w:numId w:val="58"/>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对中标结果提出质疑的，应一次性提出。</w:t>
      </w:r>
    </w:p>
    <w:p>
      <w:pPr>
        <w:pStyle w:val="47"/>
        <w:numPr>
          <w:ilvl w:val="0"/>
          <w:numId w:val="56"/>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w:t>
      </w:r>
      <w:r>
        <w:rPr>
          <w:rFonts w:hint="eastAsia" w:cs="宋体" w:asciiTheme="minorEastAsia" w:hAnsiTheme="minorEastAsia"/>
          <w:kern w:val="0"/>
          <w:szCs w:val="21"/>
        </w:rPr>
        <w:t>依照相关规定进行答复。</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5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cs="宋体" w:asciiTheme="minorEastAsia" w:hAnsiTheme="minorEastAsia"/>
          <w:kern w:val="0"/>
          <w:szCs w:val="21"/>
        </w:rPr>
        <w:t>采购人与成交供应商应当</w:t>
      </w:r>
      <w:r>
        <w:rPr>
          <w:rFonts w:hint="eastAsia" w:cs="宋体" w:asciiTheme="minorEastAsia" w:hAnsiTheme="minorEastAsia"/>
          <w:kern w:val="0"/>
          <w:szCs w:val="21"/>
        </w:rPr>
        <w:t>按照采购文件和成交人投标文件的规定，与成交人签订书面合同。所签订的合同不得对采购文件确定的事项和成交人投标文件作实质性修改。</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5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pStyle w:val="13"/>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一、节约能源、保护环境</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采购政府强</w:t>
      </w:r>
      <w:r>
        <w:rPr>
          <w:rFonts w:hint="eastAsia" w:cs="仿宋_GB2312" w:asciiTheme="minorEastAsia" w:hAnsiTheme="minorEastAsia" w:eastAsiaTheme="minorEastAsia"/>
          <w:sz w:val="21"/>
          <w:szCs w:val="21"/>
          <w:lang w:val="zh-CN"/>
        </w:rPr>
        <w:t>制采购产品的，该产品必须具有国家确定的认证机构出具的、处于有效期之内的节能产品认证证书；采购政府优先采购产品的，该产品具有国家确定的认证机构出具的、处于有效期之内的节能产品、环境标志产品认证证书，应当优先采购。</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ascii="ˎ̥" w:hAnsi="ˎ̥"/>
        </w:rPr>
        <w:t>1、本</w:t>
      </w:r>
      <w:r>
        <w:rPr>
          <w:rFonts w:hint="eastAsia" w:cs="仿宋_GB2312" w:asciiTheme="minorEastAsia" w:hAnsiTheme="minorEastAsia"/>
          <w:szCs w:val="21"/>
          <w:lang w:val="zh-CN"/>
        </w:rPr>
        <w:t>项目为非专门面向中小企业采购的项目，根据财政部、工业和信息化部《政府采购促进中小企业发展管理办法》（财库[2020]46号）规定，对符合该办法规定的小型和微型企业报价给予6%-10%的扣除，用扣除后的价格参与评审。</w:t>
      </w:r>
    </w:p>
    <w:p>
      <w:pPr>
        <w:spacing w:line="360" w:lineRule="auto"/>
        <w:ind w:firstLine="420" w:firstLineChars="200"/>
        <w:contextualSpacing/>
        <w:rPr>
          <w:rFonts w:ascii="ˎ̥" w:hAnsi="ˎ̥"/>
        </w:rPr>
      </w:pPr>
      <w:r>
        <w:rPr>
          <w:rFonts w:hint="eastAsia" w:ascii="ˎ̥" w:hAnsi="ˎ̥"/>
        </w:rPr>
        <w:t>2、</w:t>
      </w:r>
      <w:r>
        <w:rPr>
          <w:rFonts w:ascii="ˎ̥" w:hAnsi="ˎ̥"/>
        </w:rPr>
        <w:t>在货物采购项目中，供应商提供的货物既有中小企业制造货物，也有大型企业制造货物的，不享受</w:t>
      </w:r>
      <w:r>
        <w:rPr>
          <w:rFonts w:hint="eastAsia" w:cs="仿宋_GB2312" w:asciiTheme="minorEastAsia" w:hAnsiTheme="minorEastAsia"/>
          <w:szCs w:val="21"/>
          <w:lang w:val="zh-CN"/>
        </w:rPr>
        <w:t>《政府采购促进中小企业发展管理办法》（财库[2020]46号）</w:t>
      </w:r>
      <w:r>
        <w:rPr>
          <w:rFonts w:ascii="ˎ̥" w:hAnsi="ˎ̥"/>
        </w:rPr>
        <w:t>规定的中小企业扶持政策。</w:t>
      </w:r>
    </w:p>
    <w:p>
      <w:pPr>
        <w:spacing w:line="360" w:lineRule="auto"/>
        <w:ind w:firstLine="420" w:firstLineChars="200"/>
        <w:contextualSpacing/>
        <w:rPr>
          <w:rFonts w:ascii="ˎ̥" w:hAnsi="ˎ̥"/>
        </w:rPr>
      </w:pPr>
      <w:r>
        <w:rPr>
          <w:rFonts w:hint="eastAsia" w:ascii="ˎ̥" w:hAnsi="ˎ̥"/>
        </w:rPr>
        <w:t>3、</w:t>
      </w:r>
      <w:r>
        <w:rPr>
          <w:rFonts w:ascii="ˎ̥" w:hAnsi="ˎ̥"/>
        </w:rPr>
        <w:t>以联合体形式参加政府采购活动，联合体各方均为中小企业的，联合体视同中小企业。其中，联合体各方均为小微企业的，联合体视同小微企业。</w:t>
      </w:r>
    </w:p>
    <w:p>
      <w:pPr>
        <w:spacing w:line="360" w:lineRule="auto"/>
        <w:ind w:firstLine="420" w:firstLineChars="200"/>
        <w:contextualSpacing/>
        <w:rPr>
          <w:rFonts w:ascii="ˎ̥" w:hAnsi="ˎ̥"/>
        </w:rPr>
      </w:pPr>
      <w:r>
        <w:rPr>
          <w:rFonts w:hint="eastAsia" w:ascii="ˎ̥" w:hAnsi="ˎ̥"/>
        </w:rPr>
        <w:t>4、</w:t>
      </w:r>
      <w:r>
        <w:rPr>
          <w:rFonts w:ascii="ˎ̥" w:hAnsi="ˎ̥"/>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ascii="ˎ̥" w:hAnsi="ˎ̥"/>
        </w:rPr>
        <w:t>2</w:t>
      </w:r>
      <w:r>
        <w:rPr>
          <w:rFonts w:ascii="ˎ̥" w:hAnsi="ˎ̥"/>
        </w:rPr>
        <w:t>—</w:t>
      </w:r>
      <w:r>
        <w:rPr>
          <w:rFonts w:hint="eastAsia" w:ascii="ˎ̥" w:hAnsi="ˎ̥"/>
        </w:rPr>
        <w:t>3</w:t>
      </w:r>
      <w:r>
        <w:rPr>
          <w:rFonts w:ascii="ˎ̥" w:hAnsi="ˎ̥"/>
        </w:rPr>
        <w:t>%的扣除，用扣除后的价格参加评审。组成联合体或者接受分包的小微企业与联合体内其他企业、分包企业之间存在直接控股、管理关系的，不享受价格扣除优惠政策。</w:t>
      </w:r>
    </w:p>
    <w:p>
      <w:pPr>
        <w:topLinePunct/>
        <w:spacing w:line="360" w:lineRule="auto"/>
        <w:ind w:firstLine="420" w:firstLineChars="200"/>
        <w:contextualSpacing/>
        <w:rPr>
          <w:rFonts w:ascii="ˎ̥" w:hAnsi="ˎ̥"/>
        </w:rPr>
      </w:pPr>
      <w:r>
        <w:rPr>
          <w:rFonts w:hint="eastAsia" w:ascii="ˎ̥" w:hAnsi="ˎ̥"/>
        </w:rPr>
        <w:t>5、按照本次采购标的所属行业的划型标准，符合条件的中小企业应按照采购文件格式要求提供《中小企业声明函》，</w:t>
      </w:r>
      <w:r>
        <w:rPr>
          <w:rFonts w:ascii="ˎ̥" w:hAnsi="ˎ̥"/>
        </w:rPr>
        <w:t>否则不得享受相关中小企业扶持政策。</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60" w:name="OLE_LINK6"/>
      <w:r>
        <w:rPr>
          <w:rFonts w:hint="eastAsia" w:cs="仿宋_GB2312" w:asciiTheme="minorEastAsia" w:hAnsiTheme="minorEastAsia"/>
          <w:szCs w:val="21"/>
          <w:lang w:val="zh-CN"/>
        </w:rPr>
        <w:t>财库[2014]68号</w:t>
      </w:r>
      <w:bookmarkEnd w:id="60"/>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对响应文件审查与评审</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楷体" w:hAnsi="楷体" w:eastAsia="楷体" w:cs="仿宋_GB2312"/>
          <w:sz w:val="24"/>
          <w:szCs w:val="24"/>
          <w:lang w:val="zh-CN"/>
        </w:rPr>
      </w:pPr>
      <w:r>
        <w:rPr>
          <w:rFonts w:hint="eastAsia" w:asciiTheme="minorEastAsia" w:hAnsiTheme="minorEastAsia"/>
          <w:bCs/>
          <w:szCs w:val="21"/>
        </w:rPr>
        <w:t>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r>
        <w:rPr>
          <w:rFonts w:hint="eastAsia" w:cs="宋体" w:asciiTheme="minorEastAsia" w:hAnsiTheme="minorEastAsia"/>
          <w:kern w:val="0"/>
          <w:szCs w:val="21"/>
        </w:rPr>
        <w:t>（如符合其他有关规定</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参考谈判文件第八章3.1格式填写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w:t>
            </w:r>
            <w:r>
              <w:rPr>
                <w:rFonts w:hint="eastAsia" w:asciiTheme="minorEastAsia" w:hAnsiTheme="minorEastAsia"/>
                <w:b/>
                <w:bCs/>
                <w:szCs w:val="21"/>
              </w:rPr>
              <w:t>2020或2021年度经审计的财务报告</w:t>
            </w:r>
            <w:r>
              <w:rPr>
                <w:rFonts w:hint="eastAsia" w:asciiTheme="minorEastAsia" w:hAnsiTheme="minorEastAsia"/>
                <w:bCs/>
                <w:szCs w:val="21"/>
              </w:rPr>
              <w:t>，包括资产负债表、利润表、现金流量表、所有者权益变动表及其附注；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w:t>
            </w:r>
            <w:r>
              <w:rPr>
                <w:rFonts w:hint="eastAsia" w:asciiTheme="minorEastAsia" w:hAnsiTheme="minorEastAsia"/>
                <w:b/>
                <w:bCs/>
                <w:szCs w:val="21"/>
              </w:rPr>
              <w:t>2020或2021年度经审计的财务报告</w:t>
            </w:r>
            <w:r>
              <w:rPr>
                <w:rFonts w:hint="eastAsia" w:asciiTheme="minorEastAsia" w:hAnsiTheme="minorEastAsia"/>
                <w:bCs/>
                <w:szCs w:val="21"/>
              </w:rPr>
              <w:t>，包括资产负债表、利润表、现金流量表、所有者权益变动表及其附注；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响应截止时间前一年内任意一个月缴纳税收凭据。（依法免税的供应商，应提供相应文件证明依法免税）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响应截止时间前一年内任意一个月缴纳社会保险凭据。（依法不需要缴纳社会保障资金的供应商，应提供相应文件证明依法不需要缴纳社会保障资金）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①与本项目响应相关设备的购置发票、专业技术人员职称证书、用工合同等；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wordWrap w:val="0"/>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失信被执行人、税收违法黑名单、 “</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“中国社会组织政务服务平台”网站（</w:t>
            </w:r>
            <w:r>
              <w:rPr>
                <w:rFonts w:cs="仿宋_GB2312" w:asciiTheme="minorEastAsia" w:hAnsiTheme="minorEastAsia"/>
                <w:color w:val="000000"/>
                <w:szCs w:val="21"/>
              </w:rPr>
              <w:t>https://chinanpo.mca.gov.cn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6"/>
                <w:rFonts w:hint="eastAsia" w:asciiTheme="minorEastAsia" w:hAnsiTheme="minorEastAsia"/>
                <w:szCs w:val="21"/>
              </w:rPr>
              <w:t>www.creditchina.gov.cn</w:t>
            </w:r>
            <w:r>
              <w:rPr>
                <w:rStyle w:val="26"/>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“中国社会组织政务服务平台”网站（</w:t>
            </w:r>
            <w:r>
              <w:rPr>
                <w:rFonts w:cs="仿宋_GB2312" w:asciiTheme="minorEastAsia" w:hAnsiTheme="minorEastAsia"/>
                <w:color w:val="000000"/>
                <w:szCs w:val="21"/>
              </w:rPr>
              <w:t>https://chinanpo.mca.gov.cn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确认认定的被列入失信被执行人、税收违法黑名单、政府采购严重违法失信行为记录名单的供应商，</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p>
            <w:pPr>
              <w:spacing w:line="360" w:lineRule="auto"/>
              <w:rPr>
                <w:rFonts w:asciiTheme="minorEastAsia" w:hAnsiTheme="minorEastAsia"/>
                <w:b/>
                <w:bCs/>
                <w:szCs w:val="21"/>
              </w:rPr>
            </w:pPr>
            <w:r>
              <w:rPr>
                <w:rFonts w:hint="eastAsia" w:cs="宋体" w:asciiTheme="minorEastAsia" w:hAnsiTheme="minorEastAsia"/>
                <w:kern w:val="0"/>
                <w:szCs w:val="21"/>
              </w:rPr>
              <w:t>（5）供应商无须提供</w:t>
            </w:r>
            <w:r>
              <w:rPr>
                <w:rFonts w:hint="eastAsia" w:ascii="宋体" w:hAnsi="宋体" w:cs="微软雅黑"/>
                <w:bCs/>
                <w:szCs w:val="21"/>
              </w:rPr>
              <w:t>信用记录查询结果网页截屏。</w:t>
            </w:r>
            <w:r>
              <w:rPr>
                <w:rFonts w:hint="eastAsia" w:cs="宋体" w:asciiTheme="minorEastAsia" w:hAnsiTheme="minor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谈判承诺函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供应商以谈判承诺函的形式替代响应保证金。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谈判文件接受联合体响应且供应商为联合体的，供应商应提供本协议；否则无须提供。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供应商提供与参加本项目响应的其他供应商之间，单位负责人不为同一人并且不存在直接控股、管理关系承诺函（承诺函格式自拟）。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为本项目提供整体设计、规范编制或者项目管理、监理、检测等服务的供应商不得参加本项目响应</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二、对响应文件评审</w:t>
      </w:r>
    </w:p>
    <w:p>
      <w:pPr>
        <w:pStyle w:val="13"/>
        <w:spacing w:line="360" w:lineRule="auto"/>
        <w:ind w:firstLine="422" w:firstLineChars="200"/>
        <w:contextualSpacing/>
        <w:rPr>
          <w:rFonts w:asciiTheme="minorEastAsia" w:hAnsiTheme="minorEastAsia" w:eastAsiaTheme="minorEastAsia"/>
          <w:bCs/>
          <w:sz w:val="21"/>
          <w:szCs w:val="21"/>
        </w:rPr>
      </w:pPr>
      <w:r>
        <w:rPr>
          <w:rFonts w:hint="eastAsia" w:cs="仿宋_GB2312" w:asciiTheme="minorEastAsia" w:hAnsiTheme="minorEastAsia" w:eastAsiaTheme="minorEastAsia"/>
          <w:b/>
          <w:sz w:val="21"/>
          <w:szCs w:val="21"/>
          <w:lang w:val="zh-CN"/>
        </w:rPr>
        <w:t>（一）审查响应文件</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文件是否符合</w:t>
      </w:r>
      <w:r>
        <w:rPr>
          <w:rFonts w:hint="eastAsia" w:cs="仿宋_GB2312" w:asciiTheme="minorEastAsia" w:hAnsiTheme="minorEastAsia" w:eastAsiaTheme="minorEastAsia"/>
          <w:b/>
          <w:sz w:val="21"/>
          <w:szCs w:val="21"/>
          <w:lang w:val="zh-CN"/>
        </w:rPr>
        <w:t>谈判</w:t>
      </w:r>
      <w:r>
        <w:rPr>
          <w:rFonts w:cs="仿宋_GB2312" w:asciiTheme="minorEastAsia" w:hAnsiTheme="minorEastAsia" w:eastAsiaTheme="minorEastAsia"/>
          <w:b/>
          <w:sz w:val="21"/>
          <w:szCs w:val="21"/>
          <w:lang w:val="zh-CN"/>
        </w:rPr>
        <w:t>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谈判小组对符合资格的投标人的响应文件进行审查，以确定其是否满足谈判文件的商务、技术等实质性要求。</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w:t>
      </w:r>
      <w:r>
        <w:rPr>
          <w:rFonts w:hint="eastAsia" w:cs="仿宋_GB2312" w:asciiTheme="minorEastAsia" w:hAnsiTheme="minorEastAsia" w:eastAsiaTheme="minorEastAsia"/>
          <w:b/>
          <w:sz w:val="21"/>
          <w:szCs w:val="21"/>
          <w:lang w:val="zh-CN"/>
        </w:rPr>
        <w:t>供应商</w:t>
      </w:r>
      <w:r>
        <w:rPr>
          <w:rFonts w:cs="仿宋_GB2312" w:asciiTheme="minorEastAsia" w:hAnsiTheme="minorEastAsia" w:eastAsiaTheme="minorEastAsia"/>
          <w:b/>
          <w:sz w:val="21"/>
          <w:szCs w:val="21"/>
          <w:lang w:val="zh-CN"/>
        </w:rPr>
        <w:t>对</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文件有关事项作出澄清或者说明；</w:t>
      </w:r>
    </w:p>
    <w:p>
      <w:pPr>
        <w:pStyle w:val="13"/>
        <w:spacing w:line="360" w:lineRule="auto"/>
        <w:ind w:firstLine="420" w:firstLineChars="200"/>
        <w:contextualSpacing/>
        <w:rPr>
          <w:rFonts w:ascii="Arial" w:hAnsi="Arial" w:cs="Arial"/>
          <w:color w:val="333333"/>
          <w:sz w:val="21"/>
          <w:szCs w:val="21"/>
          <w:shd w:val="clear" w:color="auto" w:fill="FFFFFF"/>
        </w:rPr>
      </w:pPr>
      <w:r>
        <w:rPr>
          <w:rFonts w:hint="eastAsia" w:ascii="Arial" w:hAnsi="Arial" w:cs="Arial"/>
          <w:color w:val="333333"/>
          <w:sz w:val="21"/>
          <w:szCs w:val="21"/>
          <w:shd w:val="clear" w:color="auto" w:fill="FFFFFF"/>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3"/>
        <w:spacing w:line="360" w:lineRule="auto"/>
        <w:ind w:firstLine="420" w:firstLineChars="200"/>
        <w:contextualSpacing/>
        <w:rPr>
          <w:rFonts w:ascii="Arial" w:hAnsi="Arial" w:cs="Arial"/>
          <w:color w:val="333333"/>
          <w:sz w:val="21"/>
          <w:szCs w:val="21"/>
          <w:shd w:val="clear" w:color="auto" w:fill="FFFFFF"/>
        </w:rPr>
      </w:pPr>
      <w:r>
        <w:rPr>
          <w:rFonts w:hint="eastAsia" w:ascii="Arial" w:hAnsi="Arial" w:cs="Arial"/>
          <w:color w:val="333333"/>
          <w:sz w:val="21"/>
          <w:szCs w:val="21"/>
          <w:shd w:val="clear" w:color="auto" w:fill="FFFFFF"/>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ascii="ˎ̥" w:hAnsi="ˎ̥"/>
        </w:rPr>
      </w:pPr>
      <w:r>
        <w:rPr>
          <w:rFonts w:hint="eastAsia" w:cs="仿宋_GB2312" w:asciiTheme="minorEastAsia" w:hAnsiTheme="minorEastAsia" w:eastAsiaTheme="minorEastAsia"/>
          <w:sz w:val="21"/>
          <w:szCs w:val="21"/>
          <w:lang w:val="zh-CN"/>
        </w:rPr>
        <w:t>1）</w:t>
      </w:r>
      <w:r>
        <w:rPr>
          <w:rFonts w:hint="eastAsia" w:ascii="ˎ̥" w:hAnsi="ˎ̥"/>
          <w:sz w:val="21"/>
          <w:szCs w:val="21"/>
        </w:rPr>
        <w:t>如果本项目非专门面向中小企业采购，对</w:t>
      </w:r>
      <w:r>
        <w:rPr>
          <w:rFonts w:ascii="ˎ̥" w:hAnsi="ˎ̥"/>
          <w:sz w:val="21"/>
          <w:szCs w:val="21"/>
        </w:rPr>
        <w:t>符合</w:t>
      </w:r>
      <w:r>
        <w:rPr>
          <w:rFonts w:hint="eastAsia" w:ascii="ˎ̥" w:hAnsi="ˎ̥"/>
          <w:sz w:val="21"/>
          <w:szCs w:val="21"/>
        </w:rPr>
        <w:t>《政府采购促进中小企业发展管理办法》(财库〔2020〕46号</w:t>
      </w:r>
      <w:r>
        <w:rPr>
          <w:rFonts w:ascii="ˎ̥" w:hAnsi="ˎ̥"/>
          <w:sz w:val="21"/>
          <w:szCs w:val="21"/>
        </w:rPr>
        <w:t>规定的小微企业报价</w:t>
      </w:r>
      <w:r>
        <w:rPr>
          <w:rFonts w:hint="eastAsia" w:ascii="ˎ̥" w:hAnsi="ˎ̥"/>
          <w:sz w:val="21"/>
          <w:szCs w:val="21"/>
        </w:rPr>
        <w:t>给予6%的扣除，用扣除后的价格参与评审。</w:t>
      </w:r>
      <w:r>
        <w:rPr>
          <w:rFonts w:ascii="ˎ̥" w:hAnsi="ˎ̥"/>
          <w:sz w:val="21"/>
          <w:szCs w:val="21"/>
        </w:rPr>
        <w:t>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ˎ̥" w:hAnsi="ˎ̥"/>
          <w:sz w:val="21"/>
          <w:szCs w:val="21"/>
        </w:rPr>
        <w:t>2</w:t>
      </w:r>
      <w:r>
        <w:rPr>
          <w:rFonts w:ascii="ˎ̥" w:hAnsi="ˎ̥"/>
          <w:sz w:val="21"/>
          <w:szCs w:val="21"/>
        </w:rPr>
        <w:t>%的扣除，用扣除后的价格参加评审。组成联合体或者接受分包的小微企业与联合体内其他企业、分包企业之间存在直接控股、管理关系的，不享受价格扣除优惠政策。</w:t>
      </w:r>
      <w:r>
        <w:rPr>
          <w:rFonts w:hint="eastAsia" w:ascii="ˎ̥" w:hAnsi="ˎ̥"/>
          <w:sz w:val="21"/>
          <w:szCs w:val="21"/>
        </w:rPr>
        <w:t>按照本次采购标的所属行业的划型标准，符合条件的中小企业应按照招标文件格式要求提供《中小企业声明函》，</w:t>
      </w:r>
      <w:r>
        <w:rPr>
          <w:rFonts w:ascii="ˎ̥" w:hAnsi="ˎ̥"/>
          <w:sz w:val="21"/>
          <w:szCs w:val="21"/>
        </w:rPr>
        <w:t>否则不得享受相关中小企业扶持政策。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3）对残疾人福利性单位提供本单位制造的货物、承担的工程或者服务，或者提供其他残疾人福利性单位制造的货物（不包括使用非残疾人福利性单位注册商标的货物）价格给予6%的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sz w:val="21"/>
          <w:szCs w:val="21"/>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投标人投标文件中应提供具有国家确定的认证机构出具的、处于有效期之内的节能产品认证证书，否则将承担其投标被视为非实质性响应投标的风险。</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（3）信息产品要求</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w:t>
      </w: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cs="仿宋_GB2312" w:asciiTheme="minorEastAsia" w:hAnsiTheme="minorEastAsia"/>
          <w:szCs w:val="21"/>
          <w:lang w:val="zh-CN"/>
        </w:rPr>
        <w:t>，</w:t>
      </w:r>
      <w:r>
        <w:rPr>
          <w:rFonts w:hint="eastAsia" w:cs="仿宋_GB2312" w:asciiTheme="minorEastAsia" w:hAnsiTheme="minorEastAsia"/>
          <w:szCs w:val="21"/>
          <w:lang w:val="zh-CN"/>
        </w:rPr>
        <w:t>应提供由中国信息安全认证中心按国家标准认证颁发的有效认证证书。</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1）供应商应当遵循公平竞争的原则，不得恶意串通，不得妨碍其他投标人的竞争行为，不得损害采购人或者其他投标人的合法权益。在评标过程中发现投标人有上述情形的，谈判小组应当认定其投标无效。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2）符合性审查资料未按采购文件要求签署、盖章的；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a.不同供应商的投标文件由同一单位或者个人编制；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b.不同供应商委托同一单位或者个人办理投标事宜；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c.不同供应商的投标文件载明的项目管理成员或者联系人员为同一人；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d.不同供应商的投标文件异常一致或者投标报价呈规律性差异；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e.不同供应商的投标文件相互混装；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40"/>
        <w:gridCol w:w="269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lang w:val="en-GB"/>
              </w:rPr>
            </w:pPr>
            <w:r>
              <w:rPr>
                <w:rFonts w:hint="eastAsia" w:ascii="宋体" w:hAnsi="宋体"/>
                <w:b/>
                <w:szCs w:val="21"/>
                <w:lang w:val="en-GB"/>
              </w:rPr>
              <w:t>序号</w:t>
            </w:r>
          </w:p>
        </w:tc>
        <w:tc>
          <w:tcPr>
            <w:tcW w:w="2540" w:type="dxa"/>
            <w:vAlign w:val="center"/>
          </w:tcPr>
          <w:p>
            <w:pPr>
              <w:jc w:val="center"/>
              <w:rPr>
                <w:rFonts w:ascii="宋体" w:hAnsi="宋体"/>
                <w:b/>
                <w:szCs w:val="21"/>
                <w:lang w:val="en-GB"/>
              </w:rPr>
            </w:pPr>
            <w:r>
              <w:rPr>
                <w:rFonts w:hint="eastAsia" w:ascii="宋体" w:hAnsi="宋体"/>
                <w:b/>
                <w:szCs w:val="21"/>
                <w:lang w:val="en-GB"/>
              </w:rPr>
              <w:t>情形</w:t>
            </w:r>
          </w:p>
        </w:tc>
        <w:tc>
          <w:tcPr>
            <w:tcW w:w="2693" w:type="dxa"/>
            <w:vAlign w:val="center"/>
          </w:tcPr>
          <w:p>
            <w:pPr>
              <w:jc w:val="center"/>
              <w:rPr>
                <w:rFonts w:ascii="宋体" w:hAnsi="宋体"/>
                <w:b/>
                <w:szCs w:val="21"/>
                <w:lang w:val="en-GB"/>
              </w:rPr>
            </w:pPr>
            <w:r>
              <w:rPr>
                <w:rFonts w:hint="eastAsia" w:ascii="宋体" w:hAnsi="宋体"/>
                <w:b/>
                <w:szCs w:val="21"/>
              </w:rPr>
              <w:t>价格扣除</w:t>
            </w:r>
            <w:r>
              <w:rPr>
                <w:rFonts w:hint="eastAsia" w:ascii="宋体" w:hAnsi="宋体"/>
                <w:b/>
                <w:szCs w:val="21"/>
                <w:lang w:val="en-GB"/>
              </w:rPr>
              <w:t>比例</w:t>
            </w:r>
          </w:p>
        </w:tc>
        <w:tc>
          <w:tcPr>
            <w:tcW w:w="2977" w:type="dxa"/>
            <w:vAlign w:val="center"/>
          </w:tcPr>
          <w:p>
            <w:pPr>
              <w:jc w:val="center"/>
              <w:rPr>
                <w:rFonts w:ascii="宋体" w:hAnsi="宋体"/>
                <w:b/>
                <w:szCs w:val="21"/>
                <w:lang w:val="en-GB"/>
              </w:rPr>
            </w:pPr>
            <w:r>
              <w:rPr>
                <w:rFonts w:hint="eastAsia" w:ascii="宋体" w:hAnsi="宋体"/>
                <w:b/>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lang w:val="en-GB"/>
              </w:rPr>
            </w:pPr>
            <w:r>
              <w:rPr>
                <w:rFonts w:hint="eastAsia" w:ascii="宋体" w:hAnsi="宋体"/>
                <w:b/>
                <w:szCs w:val="21"/>
                <w:lang w:val="en-GB"/>
              </w:rPr>
              <w:t>1</w:t>
            </w:r>
          </w:p>
        </w:tc>
        <w:tc>
          <w:tcPr>
            <w:tcW w:w="2540" w:type="dxa"/>
            <w:vAlign w:val="center"/>
          </w:tcPr>
          <w:p>
            <w:pPr>
              <w:jc w:val="center"/>
              <w:rPr>
                <w:rFonts w:ascii="宋体" w:hAnsi="宋体"/>
                <w:b/>
                <w:szCs w:val="21"/>
                <w:lang w:val="en-GB"/>
              </w:rPr>
            </w:pPr>
            <w:r>
              <w:rPr>
                <w:rFonts w:hint="eastAsia" w:ascii="宋体" w:hAnsi="宋体"/>
                <w:szCs w:val="21"/>
                <w:lang w:val="en-GB"/>
              </w:rPr>
              <w:t>非联合体供应商</w:t>
            </w:r>
          </w:p>
        </w:tc>
        <w:tc>
          <w:tcPr>
            <w:tcW w:w="2693" w:type="dxa"/>
            <w:vAlign w:val="center"/>
          </w:tcPr>
          <w:p>
            <w:pPr>
              <w:jc w:val="center"/>
              <w:rPr>
                <w:rFonts w:ascii="ˎ̥" w:hAnsi="ˎ̥" w:eastAsia="宋体"/>
                <w:szCs w:val="21"/>
              </w:rPr>
            </w:pPr>
            <w:r>
              <w:rPr>
                <w:rFonts w:hint="eastAsia" w:ascii="ˎ̥" w:hAnsi="ˎ̥" w:eastAsia="宋体"/>
                <w:szCs w:val="21"/>
              </w:rPr>
              <w:t>对小型和微型企业报价</w:t>
            </w:r>
          </w:p>
          <w:p>
            <w:pPr>
              <w:jc w:val="center"/>
              <w:rPr>
                <w:rFonts w:ascii="宋体" w:hAnsi="宋体"/>
                <w:b/>
                <w:szCs w:val="21"/>
                <w:lang w:val="en-GB"/>
              </w:rPr>
            </w:pPr>
            <w:r>
              <w:rPr>
                <w:rFonts w:hint="eastAsia" w:ascii="ˎ̥" w:hAnsi="ˎ̥" w:eastAsia="宋体"/>
                <w:szCs w:val="21"/>
              </w:rPr>
              <w:t>扣除6%</w:t>
            </w:r>
          </w:p>
        </w:tc>
        <w:tc>
          <w:tcPr>
            <w:tcW w:w="2977" w:type="dxa"/>
            <w:vMerge w:val="restart"/>
            <w:shd w:val="clear" w:color="auto" w:fill="auto"/>
            <w:vAlign w:val="center"/>
          </w:tcPr>
          <w:p>
            <w:pPr>
              <w:jc w:val="center"/>
              <w:rPr>
                <w:szCs w:val="21"/>
                <w:lang w:val="en-GB"/>
              </w:rPr>
            </w:pPr>
            <w:r>
              <w:rPr>
                <w:rFonts w:hint="eastAsia"/>
                <w:szCs w:val="21"/>
                <w:lang w:val="en-GB"/>
              </w:rPr>
              <w:t>评标价格＝</w:t>
            </w:r>
            <w:r>
              <w:rPr>
                <w:rFonts w:hint="eastAsia" w:ascii="ˎ̥" w:hAnsi="ˎ̥" w:eastAsia="宋体"/>
                <w:szCs w:val="21"/>
              </w:rPr>
              <w:t>小型和微型企业报价</w:t>
            </w:r>
            <w:r>
              <w:rPr>
                <w:rFonts w:hint="eastAsia" w:ascii="宋体" w:hAnsi="宋体"/>
                <w:szCs w:val="21"/>
                <w:lang w:val="en-GB"/>
              </w:rPr>
              <w:t>×（1-</w:t>
            </w:r>
            <w:r>
              <w:rPr>
                <w:rFonts w:hint="eastAsia"/>
                <w:szCs w:val="21"/>
                <w:lang w:val="en-GB"/>
              </w:rPr>
              <w:t>6%</w:t>
            </w:r>
            <w:r>
              <w:rPr>
                <w:rFonts w:hint="eastAsia" w:ascii="宋体" w:hAnsi="宋体"/>
                <w:szCs w:val="21"/>
                <w:lang w:val="en-GB"/>
              </w:rPr>
              <w:t>）</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lang w:val="en-GB"/>
              </w:rPr>
            </w:pPr>
            <w:r>
              <w:rPr>
                <w:rFonts w:hint="eastAsia" w:ascii="宋体" w:hAnsi="宋体"/>
                <w:b/>
                <w:szCs w:val="21"/>
                <w:lang w:val="en-GB"/>
              </w:rPr>
              <w:t>2</w:t>
            </w:r>
          </w:p>
        </w:tc>
        <w:tc>
          <w:tcPr>
            <w:tcW w:w="2540" w:type="dxa"/>
            <w:vAlign w:val="center"/>
          </w:tcPr>
          <w:p>
            <w:pPr>
              <w:jc w:val="center"/>
              <w:rPr>
                <w:rFonts w:ascii="宋体" w:hAnsi="宋体"/>
                <w:b/>
                <w:szCs w:val="21"/>
              </w:rPr>
            </w:pPr>
            <w:r>
              <w:rPr>
                <w:rFonts w:hint="eastAsia" w:ascii="宋体" w:hAnsi="宋体"/>
                <w:szCs w:val="21"/>
                <w:lang w:val="en-GB"/>
              </w:rPr>
              <w:t>联合体各方均为小型、微型企业</w:t>
            </w:r>
          </w:p>
        </w:tc>
        <w:tc>
          <w:tcPr>
            <w:tcW w:w="2693" w:type="dxa"/>
            <w:vAlign w:val="center"/>
          </w:tcPr>
          <w:p>
            <w:pPr>
              <w:jc w:val="center"/>
              <w:rPr>
                <w:rFonts w:ascii="宋体" w:hAnsi="宋体"/>
                <w:szCs w:val="21"/>
              </w:rPr>
            </w:pPr>
            <w:r>
              <w:rPr>
                <w:rFonts w:hint="eastAsia" w:ascii="ˎ̥" w:hAnsi="ˎ̥" w:eastAsia="宋体"/>
                <w:szCs w:val="21"/>
              </w:rPr>
              <w:t>对小型和微型企业报价</w:t>
            </w:r>
          </w:p>
          <w:p>
            <w:pPr>
              <w:jc w:val="center"/>
              <w:rPr>
                <w:rFonts w:ascii="宋体" w:hAnsi="宋体"/>
                <w:szCs w:val="21"/>
              </w:rPr>
            </w:pPr>
            <w:r>
              <w:rPr>
                <w:rFonts w:hint="eastAsia" w:ascii="宋体" w:hAnsi="宋体"/>
                <w:szCs w:val="21"/>
              </w:rPr>
              <w:t>扣除6%</w:t>
            </w:r>
          </w:p>
          <w:p>
            <w:pPr>
              <w:jc w:val="center"/>
              <w:rPr>
                <w:rFonts w:ascii="宋体" w:hAnsi="宋体"/>
                <w:b/>
                <w:szCs w:val="21"/>
                <w:lang w:val="en-GB"/>
              </w:rPr>
            </w:pPr>
            <w:r>
              <w:rPr>
                <w:rFonts w:hint="eastAsia" w:ascii="宋体" w:hAnsi="宋体"/>
                <w:szCs w:val="21"/>
              </w:rPr>
              <w:t>（不再享受序号3的价格折扣）</w:t>
            </w:r>
          </w:p>
        </w:tc>
        <w:tc>
          <w:tcPr>
            <w:tcW w:w="2977" w:type="dxa"/>
            <w:vMerge w:val="continue"/>
            <w:shd w:val="clear" w:color="auto" w:fill="auto"/>
          </w:tcPr>
          <w:p>
            <w:pP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3</w:t>
            </w:r>
          </w:p>
        </w:tc>
        <w:tc>
          <w:tcPr>
            <w:tcW w:w="2540" w:type="dxa"/>
            <w:vAlign w:val="center"/>
          </w:tcPr>
          <w:p>
            <w:pPr>
              <w:jc w:val="center"/>
              <w:rPr>
                <w:rFonts w:ascii="宋体" w:hAnsi="宋体"/>
                <w:b/>
                <w:szCs w:val="21"/>
                <w:lang w:val="en-GB"/>
              </w:rPr>
            </w:pPr>
            <w:r>
              <w:rPr>
                <w:rFonts w:ascii="ˎ̥" w:hAnsi="ˎ̥" w:eastAsia="宋体"/>
                <w:szCs w:val="21"/>
              </w:rPr>
              <w:t>接受大中型企业与小微企业组成联合体或者允许大中型企业向一家或者多家小微企业分包的采购项目，对于联合协议或者分包意向协议约定小微企业的合同份额占到合同总金额 30%以上</w:t>
            </w:r>
          </w:p>
        </w:tc>
        <w:tc>
          <w:tcPr>
            <w:tcW w:w="2693" w:type="dxa"/>
            <w:vAlign w:val="center"/>
          </w:tcPr>
          <w:p>
            <w:pPr>
              <w:jc w:val="center"/>
              <w:rPr>
                <w:rFonts w:ascii="宋体" w:hAnsi="宋体"/>
                <w:b/>
                <w:szCs w:val="21"/>
                <w:lang w:val="en-GB"/>
              </w:rPr>
            </w:pPr>
            <w:r>
              <w:rPr>
                <w:rFonts w:ascii="ˎ̥" w:hAnsi="ˎ̥" w:eastAsia="宋体"/>
                <w:szCs w:val="21"/>
              </w:rPr>
              <w:t>对联合体或者大中型企业的报价</w:t>
            </w:r>
            <w:r>
              <w:rPr>
                <w:rFonts w:hint="eastAsia" w:ascii="宋体" w:hAnsi="宋体"/>
                <w:szCs w:val="21"/>
                <w:lang w:val="en-GB"/>
              </w:rPr>
              <w:t>扣除</w:t>
            </w:r>
            <w:r>
              <w:rPr>
                <w:rFonts w:ascii="宋体" w:hAnsi="宋体"/>
                <w:szCs w:val="21"/>
              </w:rPr>
              <w:t>2</w:t>
            </w:r>
            <w:r>
              <w:rPr>
                <w:rFonts w:hint="eastAsia" w:ascii="宋体" w:hAnsi="宋体"/>
                <w:szCs w:val="21"/>
              </w:rPr>
              <w:t>%</w:t>
            </w:r>
          </w:p>
        </w:tc>
        <w:tc>
          <w:tcPr>
            <w:tcW w:w="2977" w:type="dxa"/>
            <w:shd w:val="clear" w:color="auto" w:fill="auto"/>
            <w:vAlign w:val="center"/>
          </w:tcPr>
          <w:p>
            <w:pPr>
              <w:jc w:val="center"/>
              <w:rPr>
                <w:rFonts w:ascii="宋体" w:hAnsi="宋体"/>
                <w:b/>
                <w:szCs w:val="21"/>
                <w:lang w:val="en-GB"/>
              </w:rPr>
            </w:pPr>
            <w:r>
              <w:rPr>
                <w:rFonts w:hint="eastAsia" w:ascii="宋体" w:hAnsi="宋体"/>
                <w:szCs w:val="21"/>
                <w:lang w:val="en-GB"/>
              </w:rPr>
              <w:t>评标价格＝投标报价×</w:t>
            </w:r>
            <w:r>
              <w:rPr>
                <w:rFonts w:hint="eastAsia" w:ascii="宋体" w:hAnsi="宋体"/>
                <w:szCs w:val="21"/>
              </w:rPr>
              <w:t>(1-</w:t>
            </w:r>
            <w:r>
              <w:rPr>
                <w:szCs w:val="21"/>
                <w:lang w:val="en-GB"/>
              </w:rPr>
              <w:t>2</w:t>
            </w:r>
            <w:r>
              <w:rPr>
                <w:rFonts w:hint="eastAsia"/>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540"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rPr>
              <w:t>6</w:t>
            </w:r>
            <w:r>
              <w:rPr>
                <w:rFonts w:hint="eastAsia" w:ascii="宋体" w:hAnsi="宋体"/>
                <w:szCs w:val="21"/>
              </w:rPr>
              <w:t>%</w:t>
            </w:r>
          </w:p>
        </w:tc>
        <w:tc>
          <w:tcPr>
            <w:tcW w:w="2977"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540"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977"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四、评审方法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五、谈判小组编写评审报告。</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13"/>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 xml:space="preserve">第七章 </w:t>
      </w:r>
      <w:r>
        <w:rPr>
          <w:rFonts w:hint="eastAsia" w:asciiTheme="majorEastAsia" w:hAnsiTheme="majorEastAsia" w:eastAsiaTheme="majorEastAsia" w:cstheme="majorEastAsia"/>
          <w:b/>
          <w:kern w:val="0"/>
          <w:sz w:val="32"/>
          <w:szCs w:val="32"/>
        </w:rPr>
        <w:t>拟签订的合同文本</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最终签定合同的主要条款不能与谈判文件有冲突）</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7"/>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一、供应商应答索引表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3"/>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响应文件中所在页码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报价函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ind w:firstLine="210"/>
              <w:rPr>
                <w:rFonts w:hAnsi="宋体" w:cs="微软雅黑"/>
                <w:bCs/>
                <w:kern w:val="0"/>
                <w:sz w:val="21"/>
                <w:szCs w:val="21"/>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ind w:firstLine="210"/>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ind w:firstLine="210"/>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ind w:firstLine="210"/>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ind w:firstLine="210"/>
              <w:rPr>
                <w:rFonts w:hAnsi="宋体" w:cs="微软雅黑"/>
                <w:bCs/>
                <w:kern w:val="0"/>
                <w:sz w:val="21"/>
                <w:szCs w:val="21"/>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ind w:firstLine="210"/>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ind w:firstLine="210"/>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ind w:firstLine="210"/>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ind w:firstLine="210"/>
              <w:rPr>
                <w:rFonts w:hAnsi="宋体" w:cs="微软雅黑"/>
                <w:bCs/>
                <w:kern w:val="0"/>
                <w:sz w:val="21"/>
                <w:szCs w:val="21"/>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ind w:firstLine="210"/>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供应商与参加本项目响应的其他供应商之间，单位负责人不为同一人并且不存在直接控股、管理关系承诺函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bCs/>
                <w:sz w:val="21"/>
                <w:szCs w:val="21"/>
                <w:lang w:val="zh-CN"/>
              </w:rPr>
              <w:t>中国信息安全认证中心按国家标准认证颁发的</w:t>
            </w:r>
            <w:r>
              <w:rPr>
                <w:rFonts w:cs="宋体" w:asciiTheme="minorEastAsia" w:hAnsiTheme="minorEastAsia"/>
                <w:kern w:val="0"/>
                <w:sz w:val="21"/>
                <w:szCs w:val="21"/>
              </w:rPr>
              <w:t>信息安全产品</w:t>
            </w:r>
            <w:r>
              <w:rPr>
                <w:rFonts w:hint="eastAsia" w:cs="宋体" w:asciiTheme="minorEastAsia" w:hAnsiTheme="minorEastAsia"/>
                <w:bCs/>
                <w:sz w:val="21"/>
                <w:szCs w:val="21"/>
                <w:lang w:val="zh-CN"/>
              </w:rPr>
              <w:t>有效认证证书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3"/>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widowControl/>
        <w:jc w:val="left"/>
        <w:rPr>
          <w:rFonts w:asciiTheme="majorEastAsia" w:hAnsiTheme="majorEastAsia" w:eastAsiaTheme="majorEastAsia"/>
          <w:b/>
          <w:snapToGrid w:val="0"/>
          <w:kern w:val="0"/>
          <w:sz w:val="28"/>
          <w:szCs w:val="28"/>
        </w:rPr>
      </w:pPr>
      <w:r>
        <w:rPr>
          <w:rFonts w:asciiTheme="majorEastAsia" w:hAnsiTheme="majorEastAsia" w:eastAsiaTheme="majorEastAsia"/>
          <w:b/>
          <w:snapToGrid w:val="0"/>
          <w:kern w:val="0"/>
          <w:sz w:val="28"/>
          <w:szCs w:val="28"/>
        </w:rPr>
        <w:br w:type="page"/>
      </w: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参加谈判的法定代表人或授权代表</w:t>
      </w:r>
    </w:p>
    <w:p>
      <w:pPr>
        <w:autoSpaceDE w:val="0"/>
        <w:autoSpaceDN w:val="0"/>
        <w:adjustRightInd w:val="0"/>
        <w:spacing w:line="480" w:lineRule="auto"/>
        <w:rPr>
          <w:rFonts w:cs="宋体" w:asciiTheme="minorEastAsia" w:hAnsiTheme="minorEastAsia"/>
          <w:szCs w:val="21"/>
        </w:rPr>
      </w:pPr>
      <w:r>
        <w:rPr>
          <w:rFonts w:hint="eastAsia" w:cs="宋体" w:asciiTheme="minorEastAsia" w:hAnsiTheme="minorEastAsia"/>
          <w:szCs w:val="21"/>
          <w:lang w:val="zh-CN"/>
        </w:rPr>
        <w:t>姓名：</w:t>
      </w:r>
      <w:r>
        <w:rPr>
          <w:rFonts w:hint="eastAsia" w:cs="宋体" w:asciiTheme="minorEastAsia" w:hAnsiTheme="minorEastAsia"/>
          <w:szCs w:val="21"/>
        </w:rPr>
        <w:t xml:space="preserve">                      联系电话（手机）：</w:t>
      </w:r>
    </w:p>
    <w:p>
      <w:pPr>
        <w:autoSpaceDE w:val="0"/>
        <w:autoSpaceDN w:val="0"/>
        <w:adjustRightInd w:val="0"/>
        <w:spacing w:line="480" w:lineRule="auto"/>
        <w:rPr>
          <w:rFonts w:cs="宋体" w:asciiTheme="minorEastAsia" w:hAnsiTheme="minorEastAsia"/>
          <w:szCs w:val="21"/>
        </w:rPr>
      </w:pPr>
      <w:r>
        <w:rPr>
          <w:rFonts w:hint="eastAsia" w:cs="宋体" w:asciiTheme="minorEastAsia" w:hAnsiTheme="minorEastAsia"/>
          <w:szCs w:val="21"/>
          <w:lang w:val="zh-CN"/>
        </w:rPr>
        <w:t>注：</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三、资格审查相关材料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报 价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致：许昌市公安局</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_（项目名称、项目编号）采购的竞争性谈判公告及谈判邀请，_______（姓名和职务）被正式授权并代表供应商（供应商名称、地址）提交。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响应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525" w:firstLineChars="25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我方同意在本项目谈判文件中规定的开标日起90天内遵守本谈判文件中的承诺且在此期限期满之前均具有约束力。我方同意并遵守本谈判文件“投标人须知”中第十四条第三款关于延长投标有效期的规定。</w:t>
      </w:r>
      <w:r>
        <w:rPr>
          <w:rFonts w:hint="eastAsia" w:cs="Courier New" w:asciiTheme="minorEastAsia" w:hAnsiTheme="minorEastAsia"/>
          <w:szCs w:val="21"/>
        </w:rPr>
        <w:t>如成交，有效期将延至供货终止日为止。在此提交的资格证明文件均至响应截止日有效，如有在响应有效期内失效的，我方承诺在收到成交通知书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三、我方明白并同意，在规定的谈判响应时间截止之后，响应有效期之内撤销谈判响应的，则我方承担违背响应承诺的责任追究。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五、我方理解贵方不一定接受最低响应报价。</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我方已依法缴纳了各项税费及社会保险费用，如有需要，可随时向采购人提供近六个月内的相关缴费证明，以便核查。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所有与本项目谈判有关的一切正式往来请联系：</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手    机：. 固定电话：.</w:t>
      </w:r>
    </w:p>
    <w:p>
      <w:pPr>
        <w:adjustRightInd w:val="0"/>
        <w:snapToGrid w:val="0"/>
        <w:spacing w:line="360" w:lineRule="auto"/>
        <w:rPr>
          <w:rFonts w:cs="宋体" w:asciiTheme="minorEastAsia" w:hAnsiTheme="minorEastAsia"/>
          <w:b/>
          <w:szCs w:val="21"/>
        </w:rPr>
      </w:pPr>
      <w:r>
        <w:rPr>
          <w:rFonts w:hint="eastAsia" w:cs="宋体" w:asciiTheme="minorEastAsia" w:hAnsiTheme="minorEastAsia"/>
          <w:b/>
          <w:szCs w:val="21"/>
        </w:rPr>
        <w:t>注：</w:t>
      </w:r>
    </w:p>
    <w:p>
      <w:pPr>
        <w:adjustRightInd w:val="0"/>
        <w:snapToGrid w:val="0"/>
        <w:spacing w:line="360" w:lineRule="auto"/>
        <w:rPr>
          <w:rFonts w:cs="宋体" w:asciiTheme="minorEastAsia" w:hAnsiTheme="minorEastAsia"/>
          <w:b/>
          <w:szCs w:val="21"/>
        </w:rPr>
      </w:pPr>
      <w:r>
        <w:rPr>
          <w:rFonts w:hint="eastAsia" w:cs="宋体" w:asciiTheme="minorEastAsia" w:hAnsiTheme="minorEastAsia"/>
          <w:b/>
          <w:szCs w:val="21"/>
        </w:rPr>
        <w:t>供应商代表应为参加谈判的法定代表人（单位负责人）或</w:t>
      </w:r>
      <w:r>
        <w:rPr>
          <w:rFonts w:hint="eastAsia" w:cs="Arial" w:asciiTheme="minorEastAsia" w:hAnsiTheme="minorEastAsia"/>
          <w:b/>
          <w:szCs w:val="21"/>
        </w:rPr>
        <w:t>法定代表人（单位负责人）</w:t>
      </w:r>
      <w:r>
        <w:rPr>
          <w:rFonts w:hint="eastAsia" w:asciiTheme="minorEastAsia" w:hAnsiTheme="minorEastAsia"/>
          <w:b/>
          <w:szCs w:val="21"/>
        </w:rPr>
        <w:t>授权代表。</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rPr>
        <w:t>）：</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9"/>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加贵方项目</w:t>
      </w:r>
      <w:r>
        <w:rPr>
          <w:rFonts w:asciiTheme="minorEastAsia" w:hAnsiTheme="minorEastAsia"/>
          <w:color w:val="000000"/>
          <w:sz w:val="21"/>
          <w:szCs w:val="21"/>
        </w:rPr>
        <w:t>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法定代表人（单位负责人）联系电话（手机）：</w:t>
      </w:r>
    </w:p>
    <w:p>
      <w:pPr>
        <w:pStyle w:val="49"/>
        <w:spacing w:line="480" w:lineRule="auto"/>
        <w:ind w:firstLine="472" w:firstLineChars="225"/>
        <w:jc w:val="left"/>
        <w:rPr>
          <w:rFonts w:asciiTheme="minorEastAsia" w:hAnsiTheme="minorEastAsia"/>
          <w:color w:val="000000"/>
          <w:sz w:val="21"/>
          <w:szCs w:val="21"/>
        </w:rPr>
      </w:pPr>
    </w:p>
    <w:p>
      <w:pPr>
        <w:pStyle w:val="49"/>
        <w:spacing w:line="480" w:lineRule="auto"/>
        <w:ind w:firstLine="472" w:firstLineChars="225"/>
        <w:jc w:val="left"/>
        <w:rPr>
          <w:rFonts w:asciiTheme="minorEastAsia" w:hAnsiTheme="minorEastAsia"/>
          <w:color w:val="000000"/>
          <w:sz w:val="21"/>
          <w:szCs w:val="21"/>
        </w:rPr>
      </w:pPr>
    </w:p>
    <w:p>
      <w:pPr>
        <w:pStyle w:val="49"/>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9"/>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rPr>
        <w:t>）：</w:t>
      </w:r>
    </w:p>
    <w:p>
      <w:pPr>
        <w:pStyle w:val="52"/>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51"/>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320" w:lineRule="exact"/>
        <w:ind w:firstLine="420" w:firstLineChars="200"/>
        <w:rPr>
          <w:rFonts w:asciiTheme="minorEastAsia" w:hAnsiTheme="minorEastAsia"/>
          <w:bCs/>
          <w:color w:val="000000"/>
          <w:kern w:val="12"/>
          <w:szCs w:val="21"/>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供应商名称： </w:t>
      </w:r>
      <w:r>
        <w:rPr>
          <w:rFonts w:hint="eastAsia" w:asciiTheme="minorEastAsia" w:hAnsiTheme="minorEastAsia"/>
          <w:szCs w:val="21"/>
          <w:u w:val="single"/>
        </w:rPr>
        <w:t xml:space="preserve">       （全称）       </w:t>
      </w:r>
      <w:r>
        <w:rPr>
          <w:rFonts w:hint="eastAsia" w:asciiTheme="minorEastAsia" w:hAnsiTheme="minorEastAsia"/>
          <w:szCs w:val="21"/>
        </w:rPr>
        <w:t xml:space="preserve"> （并加盖单位公章）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授权代表联系电话（手机）：</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u w:val="single"/>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谈判承诺函</w:t>
      </w:r>
    </w:p>
    <w:p>
      <w:pPr>
        <w:autoSpaceDE w:val="0"/>
        <w:autoSpaceDN w:val="0"/>
        <w:snapToGrid w:val="0"/>
        <w:spacing w:line="360" w:lineRule="auto"/>
        <w:jc w:val="center"/>
        <w:rPr>
          <w:rFonts w:ascii="宋体" w:hAnsi="宋体"/>
          <w:b/>
          <w:bCs/>
          <w:color w:val="000000"/>
          <w:sz w:val="24"/>
          <w:szCs w:val="24"/>
        </w:rPr>
      </w:pPr>
    </w:p>
    <w:p>
      <w:pPr>
        <w:spacing w:before="156" w:beforeLines="50" w:after="156"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许昌市公安局</w:t>
      </w:r>
      <w:r>
        <w:rPr>
          <w:rFonts w:ascii="宋体" w:hAnsi="宋体" w:eastAsia="宋体" w:cs="宋体"/>
          <w:szCs w:val="21"/>
          <w:lang w:val="zh-CN"/>
        </w:rPr>
        <w:t>：</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____年____月____日____</w:t>
      </w:r>
      <w:r>
        <w:rPr>
          <w:rFonts w:hint="eastAsia" w:cs="宋体" w:asciiTheme="minorEastAsia" w:hAnsiTheme="minorEastAsia"/>
          <w:szCs w:val="21"/>
          <w:lang w:val="zh-CN"/>
        </w:rPr>
        <w:t>（项目编号、项目名称）的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响应</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一、在响应有效期内撤销响应文件；</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二、在响应文件中提供虚假材料；</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三、除因不可抗力或谈判文件认可的情形以外，成交后不与采购人签订合同；</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四、与采购人、其他供应商或者采购代理机构恶意串通；</w:t>
      </w:r>
    </w:p>
    <w:p>
      <w:pPr>
        <w:spacing w:before="156" w:beforeLines="50" w:after="156"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五、法律法规及本谈判文件规定的其他严重违法行为。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Arial" w:asciiTheme="minorEastAsia" w:hAnsiTheme="minorEastAsia"/>
          <w:color w:val="000000"/>
          <w:szCs w:val="21"/>
        </w:rPr>
        <w:t>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spacing w:line="360" w:lineRule="auto"/>
        <w:jc w:val="center"/>
        <w:rPr>
          <w:rFonts w:ascii="宋体" w:hAnsi="宋体"/>
          <w:b/>
          <w:bCs/>
          <w:color w:val="000000"/>
          <w:sz w:val="24"/>
          <w:szCs w:val="24"/>
        </w:rPr>
      </w:pPr>
      <w:r>
        <w:rPr>
          <w:rFonts w:hint="eastAsia" w:ascii="宋体" w:hAnsi="宋体"/>
          <w:b/>
          <w:bCs/>
          <w:color w:val="000000"/>
          <w:sz w:val="24"/>
          <w:szCs w:val="24"/>
        </w:rPr>
        <w:t>3.6 投标人提供与参加本项目投标的其他供应商之间，单位负责人不为同一人并且不存在直接控股、管理关系承诺函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spacing w:line="360" w:lineRule="auto"/>
        <w:jc w:val="center"/>
        <w:rPr>
          <w:rFonts w:ascii="宋体" w:hAnsi="宋体"/>
          <w:b/>
          <w:bCs/>
          <w:color w:val="000000"/>
          <w:sz w:val="24"/>
          <w:szCs w:val="24"/>
        </w:rPr>
      </w:pPr>
      <w:r>
        <w:rPr>
          <w:rFonts w:hint="eastAsia" w:ascii="宋体" w:hAnsi="宋体"/>
          <w:b/>
          <w:bCs/>
          <w:color w:val="000000"/>
          <w:sz w:val="24"/>
          <w:szCs w:val="24"/>
        </w:rPr>
        <w:t>3.7.投标人提供未为本项目提供整体设计、规范编制或者项目管理、监理、检测等服务承诺函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3.8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widowControl/>
        <w:ind w:firstLine="1546" w:firstLineChars="550"/>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四、响应文件审查相关材料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分项报价表</w:t>
      </w:r>
    </w:p>
    <w:p>
      <w:pPr>
        <w:autoSpaceDE w:val="0"/>
        <w:autoSpaceDN w:val="0"/>
        <w:adjustRightInd w:val="0"/>
        <w:spacing w:line="360" w:lineRule="auto"/>
        <w:jc w:val="center"/>
        <w:outlineLvl w:val="0"/>
        <w:rPr>
          <w:rFonts w:ascii="宋体" w:hAnsi="宋体"/>
          <w:b/>
          <w:bCs/>
          <w:color w:val="000000"/>
          <w:sz w:val="24"/>
          <w:szCs w:val="24"/>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480" w:lineRule="auto"/>
        <w:jc w:val="left"/>
        <w:rPr>
          <w:rFonts w:cs="宋体" w:asciiTheme="minorEastAsia" w:hAnsiTheme="minorEastAsia"/>
          <w:szCs w:val="21"/>
          <w:lang w:val="zh-CN"/>
        </w:rPr>
      </w:pPr>
      <w:r>
        <w:rPr>
          <w:rFonts w:hint="eastAsia" w:asciiTheme="minorEastAsia" w:hAnsiTheme="minorEastAsia"/>
          <w:color w:val="000000"/>
          <w:szCs w:val="21"/>
        </w:rPr>
        <w:t xml:space="preserve">项目名称：   </w:t>
      </w:r>
    </w:p>
    <w:p>
      <w:pPr>
        <w:autoSpaceDE w:val="0"/>
        <w:autoSpaceDN w:val="0"/>
        <w:adjustRightInd w:val="0"/>
        <w:spacing w:line="480" w:lineRule="auto"/>
        <w:jc w:val="center"/>
        <w:rPr>
          <w:rFonts w:cs="宋体" w:asciiTheme="minorEastAsia" w:hAnsiTheme="minorEastAsia"/>
          <w:szCs w:val="21"/>
          <w:lang w:val="zh-CN"/>
        </w:rPr>
      </w:pPr>
    </w:p>
    <w:p>
      <w:pPr>
        <w:autoSpaceDE w:val="0"/>
        <w:autoSpaceDN w:val="0"/>
        <w:adjustRightInd w:val="0"/>
        <w:spacing w:line="480" w:lineRule="auto"/>
        <w:jc w:val="center"/>
        <w:rPr>
          <w:rFonts w:cs="宋体" w:asciiTheme="minorEastAsia" w:hAnsiTheme="minorEastAsia"/>
          <w:szCs w:val="21"/>
          <w:lang w:val="zh-CN"/>
        </w:rPr>
      </w:pPr>
      <w:r>
        <w:rPr>
          <w:rFonts w:hint="eastAsia" w:cs="宋体" w:asciiTheme="minorEastAsia" w:hAnsiTheme="minorEastAsia"/>
          <w:szCs w:val="21"/>
          <w:lang w:val="zh-CN"/>
        </w:rPr>
        <w:t>请投标人根据情况自拟格式</w:t>
      </w:r>
    </w:p>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360" w:lineRule="auto"/>
        <w:outlineLvl w:val="0"/>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autoSpaceDE w:val="0"/>
        <w:autoSpaceDN w:val="0"/>
        <w:adjustRightInd w:val="0"/>
        <w:spacing w:line="360" w:lineRule="auto"/>
        <w:jc w:val="center"/>
        <w:outlineLvl w:val="0"/>
        <w:rPr>
          <w:rFonts w:ascii="宋体" w:hAnsi="宋体"/>
          <w:b/>
          <w:bCs/>
          <w:color w:val="000000"/>
          <w:sz w:val="24"/>
          <w:szCs w:val="24"/>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480" w:lineRule="auto"/>
        <w:jc w:val="center"/>
        <w:rPr>
          <w:rFonts w:cs="宋体" w:asciiTheme="minorEastAsia" w:hAnsiTheme="minorEastAsia"/>
          <w:szCs w:val="21"/>
          <w:lang w:val="zh-CN"/>
        </w:rPr>
      </w:pPr>
      <w:r>
        <w:rPr>
          <w:rFonts w:hint="eastAsia" w:cs="宋体" w:asciiTheme="minorEastAsia" w:hAnsiTheme="minorEastAsia"/>
          <w:szCs w:val="21"/>
          <w:lang w:val="zh-CN"/>
        </w:rPr>
        <w:t>请投标人根据情况自拟格式</w:t>
      </w:r>
    </w:p>
    <w:p>
      <w:pPr>
        <w:autoSpaceDE w:val="0"/>
        <w:autoSpaceDN w:val="0"/>
        <w:adjustRightInd w:val="0"/>
        <w:spacing w:line="360" w:lineRule="auto"/>
        <w:outlineLvl w:val="0"/>
        <w:rPr>
          <w:rFonts w:hAnsi="宋体" w:eastAsia="宋体"/>
          <w:b/>
          <w:snapToGrid w:val="0"/>
          <w:kern w:val="0"/>
          <w:szCs w:val="21"/>
        </w:rPr>
      </w:pPr>
    </w:p>
    <w:p>
      <w:pPr>
        <w:autoSpaceDE w:val="0"/>
        <w:autoSpaceDN w:val="0"/>
        <w:adjustRightInd w:val="0"/>
        <w:spacing w:line="360" w:lineRule="auto"/>
        <w:outlineLvl w:val="0"/>
        <w:rPr>
          <w:rFonts w:cs="宋体" w:asciiTheme="minorEastAsia" w:hAnsiTheme="minorEastAsia"/>
          <w:szCs w:val="21"/>
          <w:lang w:val="zh-CN"/>
        </w:rPr>
      </w:pPr>
      <w:r>
        <w:rPr>
          <w:rFonts w:hint="eastAsia" w:cs="宋体" w:asciiTheme="minorEastAsia" w:hAnsiTheme="minorEastAsia"/>
          <w:szCs w:val="21"/>
          <w:lang w:val="zh-CN"/>
        </w:rPr>
        <w:t>供应商</w:t>
      </w:r>
      <w:r>
        <w:rPr>
          <w:rFonts w:hint="eastAsia" w:cs="宋体" w:asciiTheme="minorEastAsia" w:hAnsiTheme="minorEastAsia"/>
          <w:szCs w:val="21"/>
        </w:rPr>
        <w:t>名称（并加盖公章）：</w:t>
      </w: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r>
        <w:rPr>
          <w:rFonts w:ascii="宋体" w:hAnsi="宋体"/>
          <w:b/>
          <w:bCs/>
          <w:color w:val="000000"/>
          <w:sz w:val="24"/>
          <w:szCs w:val="24"/>
        </w:rPr>
        <w:t>（</w:t>
      </w:r>
      <w:r>
        <w:rPr>
          <w:rFonts w:hint="eastAsia" w:ascii="宋体" w:hAnsi="宋体"/>
          <w:b/>
          <w:bCs/>
          <w:color w:val="000000"/>
          <w:sz w:val="24"/>
          <w:szCs w:val="24"/>
        </w:rPr>
        <w:t>工程、服务</w:t>
      </w:r>
      <w:r>
        <w:rPr>
          <w:rFonts w:ascii="宋体" w:hAnsi="宋体"/>
          <w:b/>
          <w:bCs/>
          <w:color w:val="000000"/>
          <w:sz w:val="24"/>
          <w:szCs w:val="24"/>
        </w:rPr>
        <w:t>）</w:t>
      </w:r>
    </w:p>
    <w:p>
      <w:pPr>
        <w:spacing w:line="360" w:lineRule="auto"/>
        <w:jc w:val="center"/>
        <w:rPr>
          <w:rFonts w:ascii="宋体" w:hAnsi="宋体"/>
          <w:b/>
          <w:bCs/>
          <w:color w:val="000000"/>
          <w:szCs w:val="21"/>
        </w:rPr>
      </w:pPr>
    </w:p>
    <w:p>
      <w:pPr>
        <w:spacing w:line="360" w:lineRule="auto"/>
        <w:ind w:firstLine="707" w:firstLineChars="337"/>
        <w:jc w:val="left"/>
      </w:pPr>
      <w:r>
        <w:t>本公司（联合体）郑重声明，根据《政府采购促进中小企业发展管理办法》（财库﹝2020﹞46 号）的规定，本公司（联合体）参加</w:t>
      </w:r>
      <w:r>
        <w:rPr>
          <w:i/>
          <w:u w:val="single"/>
        </w:rPr>
        <w:t>（单位名称）</w:t>
      </w:r>
      <w:r>
        <w:t>的</w:t>
      </w:r>
      <w:r>
        <w:rPr>
          <w:i/>
          <w:u w:val="single"/>
        </w:rPr>
        <w:t>（项目名称）</w:t>
      </w:r>
      <w:r>
        <w:t>采购活动，</w:t>
      </w:r>
      <w:r>
        <w:rPr>
          <w:rFonts w:hint="eastAsia"/>
        </w:rPr>
        <w:t>工程的施工单位全部为符合政策要求的中小企业（或者：服务全部由符合政策要求的中小企业承建）</w:t>
      </w:r>
      <w:r>
        <w:t>。相关企业（含联合体中的中小企业、签订分包意向协议的中小企业）的具体情况如下：</w:t>
      </w:r>
    </w:p>
    <w:p>
      <w:pPr>
        <w:spacing w:line="360" w:lineRule="auto"/>
        <w:ind w:firstLine="707" w:firstLineChars="337"/>
        <w:jc w:val="left"/>
      </w:pPr>
      <w:r>
        <w:t xml:space="preserve">1. </w:t>
      </w:r>
      <w:r>
        <w:rPr>
          <w:i/>
          <w:u w:val="single"/>
        </w:rPr>
        <w:t>（标的名称）</w:t>
      </w:r>
      <w:r>
        <w:t>，属于</w:t>
      </w:r>
      <w:r>
        <w:rPr>
          <w:i/>
          <w:u w:val="single"/>
        </w:rPr>
        <w:t>（采购文件中明确的所属行业）</w:t>
      </w:r>
      <w:r>
        <w:t>行业；</w:t>
      </w:r>
      <w:r>
        <w:rPr>
          <w:rFonts w:hint="eastAsia"/>
        </w:rPr>
        <w:t>承建（承接）企业</w:t>
      </w:r>
      <w:r>
        <w:t>为</w:t>
      </w:r>
      <w:r>
        <w:rPr>
          <w:i/>
          <w:u w:val="single"/>
        </w:rPr>
        <w:t>（企业名称）</w:t>
      </w:r>
      <w:r>
        <w:t>，从业人员人，营业收入为万元，资产总额为万元，属于</w:t>
      </w:r>
      <w:r>
        <w:rPr>
          <w:i/>
          <w:u w:val="single"/>
        </w:rPr>
        <w:t>（中型企业、小型企业、微型企业）</w:t>
      </w:r>
      <w:r>
        <w:t>；</w:t>
      </w:r>
    </w:p>
    <w:p>
      <w:pPr>
        <w:spacing w:line="360" w:lineRule="auto"/>
        <w:ind w:firstLine="707" w:firstLineChars="337"/>
        <w:jc w:val="left"/>
      </w:pPr>
      <w:r>
        <w:t xml:space="preserve">2. </w:t>
      </w:r>
      <w:r>
        <w:rPr>
          <w:i/>
          <w:u w:val="single"/>
        </w:rPr>
        <w:t>（标的名称）</w:t>
      </w:r>
      <w:r>
        <w:t>，属于</w:t>
      </w:r>
      <w:r>
        <w:rPr>
          <w:i/>
          <w:u w:val="single"/>
        </w:rPr>
        <w:t>（采购文件中明确的所属行业）</w:t>
      </w:r>
      <w:r>
        <w:t>行业；</w:t>
      </w:r>
      <w:r>
        <w:rPr>
          <w:rFonts w:hint="eastAsia"/>
        </w:rPr>
        <w:t>承建（承接）企业</w:t>
      </w:r>
      <w:r>
        <w:t>为</w:t>
      </w:r>
      <w:r>
        <w:rPr>
          <w:i/>
          <w:u w:val="single"/>
        </w:rPr>
        <w:t>（企业名称）</w:t>
      </w:r>
      <w:r>
        <w:t>，从业人员人，营业收入为万元，资产总额为万元，属于</w:t>
      </w:r>
      <w:r>
        <w:rPr>
          <w:i/>
          <w:u w:val="single"/>
        </w:rPr>
        <w:t>（中型企业、小型企业、微型企业）</w:t>
      </w:r>
      <w:r>
        <w:t>；</w:t>
      </w:r>
    </w:p>
    <w:p>
      <w:pPr>
        <w:spacing w:line="360" w:lineRule="auto"/>
        <w:ind w:firstLine="707" w:firstLineChars="337"/>
        <w:jc w:val="left"/>
      </w:pPr>
      <w:r>
        <w:t xml:space="preserve">…… </w:t>
      </w:r>
    </w:p>
    <w:p>
      <w:pPr>
        <w:spacing w:line="360" w:lineRule="auto"/>
        <w:ind w:firstLine="707" w:firstLineChars="337"/>
        <w:jc w:val="left"/>
      </w:pPr>
      <w:r>
        <w:t>以上企业，不属于大企业的分支机构，不存在控股股东为大企业的情形，也不存在与大企业的负责人为同一人的情形。</w:t>
      </w:r>
    </w:p>
    <w:p>
      <w:pPr>
        <w:spacing w:line="360" w:lineRule="auto"/>
        <w:ind w:firstLine="707" w:firstLineChars="337"/>
        <w:jc w:val="left"/>
      </w:pPr>
      <w:r>
        <w:t>本企业对上述声明内容的真实性负责。如有虚假，将依法承担相应责任。</w:t>
      </w:r>
    </w:p>
    <w:p>
      <w:pPr>
        <w:spacing w:line="360" w:lineRule="auto"/>
        <w:ind w:firstLine="707" w:firstLineChars="337"/>
        <w:jc w:val="left"/>
      </w:pPr>
    </w:p>
    <w:p>
      <w:pPr>
        <w:spacing w:line="360" w:lineRule="auto"/>
        <w:ind w:firstLine="707" w:firstLineChars="337"/>
        <w:jc w:val="left"/>
      </w:pPr>
    </w:p>
    <w:p>
      <w:pPr>
        <w:spacing w:line="480" w:lineRule="auto"/>
        <w:ind w:firstLine="5957" w:firstLineChars="2837"/>
        <w:jc w:val="left"/>
      </w:pPr>
      <w:r>
        <w:t>企业名称（盖章）：</w:t>
      </w:r>
    </w:p>
    <w:p>
      <w:pPr>
        <w:spacing w:line="480" w:lineRule="auto"/>
        <w:ind w:firstLine="5957" w:firstLineChars="2837"/>
        <w:jc w:val="left"/>
        <w:rPr>
          <w:rFonts w:cs="Arial" w:asciiTheme="minorEastAsia" w:hAnsiTheme="minorEastAsia"/>
          <w:color w:val="000000"/>
          <w:szCs w:val="21"/>
        </w:rPr>
      </w:pPr>
      <w:r>
        <w:t>日期：</w:t>
      </w: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w:t>
      </w:r>
      <w:r>
        <w:t>从业人员、营业收入、资产总额填报上一年度数据，无上一年度数据的新成立企业可不填报。</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中小企业参加政府采购活动，应当出具</w:t>
      </w:r>
      <w:r>
        <w:t>《中小企业声明函》，否则不得享受相关中小企业扶持政</w:t>
      </w:r>
      <w:r>
        <w:rPr>
          <w:rFonts w:ascii="宋体" w:hAnsi="宋体" w:cs="Arial"/>
          <w:color w:val="000000"/>
          <w:kern w:val="0"/>
          <w:szCs w:val="21"/>
        </w:rPr>
        <w:t>策。</w:t>
      </w: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contextualSpacing/>
        <w:rPr>
          <w:rFonts w:ascii="宋体" w:hAnsi="宋体"/>
          <w:szCs w:val="21"/>
        </w:rPr>
      </w:pPr>
      <w:r>
        <w:rPr>
          <w:rFonts w:hint="eastAsia" w:cs="宋体" w:asciiTheme="minorEastAsia" w:hAnsiTheme="minorEastAsia"/>
          <w:szCs w:val="21"/>
          <w:lang w:val="zh-CN"/>
        </w:rPr>
        <w:t>单位名称（盖章）：：</w:t>
      </w:r>
    </w:p>
    <w:p>
      <w:pPr>
        <w:spacing w:line="360" w:lineRule="auto"/>
        <w:contextualSpacing/>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
    <w:p/>
    <w:p/>
    <w:p/>
    <w:p/>
    <w:p/>
    <w:p/>
    <w:p/>
    <w:p/>
    <w:p/>
    <w:p/>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47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08"/>
    <w:multiLevelType w:val="multilevel"/>
    <w:tmpl w:val="00000008"/>
    <w:lvl w:ilvl="0" w:tentative="0">
      <w:start w:val="1"/>
      <w:numFmt w:val="bullet"/>
      <w:pStyle w:val="59"/>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14"/>
    <w:multiLevelType w:val="multilevel"/>
    <w:tmpl w:val="00000014"/>
    <w:lvl w:ilvl="0" w:tentative="0">
      <w:start w:val="1"/>
      <w:numFmt w:val="decimal"/>
      <w:pStyle w:val="5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EB69CD"/>
    <w:multiLevelType w:val="multilevel"/>
    <w:tmpl w:val="00EB69CD"/>
    <w:lvl w:ilvl="0" w:tentative="0">
      <w:start w:val="27"/>
      <w:numFmt w:val="decimal"/>
      <w:lvlText w:val="%1.2.4"/>
      <w:lvlJc w:val="left"/>
      <w:pPr>
        <w:ind w:left="420" w:hanging="420"/>
      </w:pPr>
      <w:rPr>
        <w:rFonts w:hint="eastAsia"/>
      </w:rPr>
    </w:lvl>
    <w:lvl w:ilvl="1" w:tentative="0">
      <w:start w:val="1"/>
      <w:numFmt w:val="lowerLetter"/>
      <w:lvlText w:val="%2)"/>
      <w:lvlJc w:val="left"/>
      <w:pPr>
        <w:ind w:left="-578" w:hanging="420"/>
      </w:pPr>
    </w:lvl>
    <w:lvl w:ilvl="2" w:tentative="0">
      <w:start w:val="1"/>
      <w:numFmt w:val="lowerRoman"/>
      <w:lvlText w:val="%3."/>
      <w:lvlJc w:val="right"/>
      <w:pPr>
        <w:ind w:left="-158" w:hanging="420"/>
      </w:pPr>
    </w:lvl>
    <w:lvl w:ilvl="3" w:tentative="0">
      <w:start w:val="1"/>
      <w:numFmt w:val="decimal"/>
      <w:lvlText w:val="%4."/>
      <w:lvlJc w:val="left"/>
      <w:pPr>
        <w:ind w:left="262" w:hanging="420"/>
      </w:pPr>
    </w:lvl>
    <w:lvl w:ilvl="4" w:tentative="0">
      <w:start w:val="1"/>
      <w:numFmt w:val="lowerLetter"/>
      <w:lvlText w:val="%5)"/>
      <w:lvlJc w:val="left"/>
      <w:pPr>
        <w:ind w:left="682" w:hanging="420"/>
      </w:pPr>
    </w:lvl>
    <w:lvl w:ilvl="5" w:tentative="0">
      <w:start w:val="1"/>
      <w:numFmt w:val="lowerRoman"/>
      <w:lvlText w:val="%6."/>
      <w:lvlJc w:val="right"/>
      <w:pPr>
        <w:ind w:left="1102" w:hanging="420"/>
      </w:pPr>
    </w:lvl>
    <w:lvl w:ilvl="6" w:tentative="0">
      <w:start w:val="1"/>
      <w:numFmt w:val="decimal"/>
      <w:lvlText w:val="%7."/>
      <w:lvlJc w:val="left"/>
      <w:pPr>
        <w:ind w:left="1522" w:hanging="420"/>
      </w:pPr>
    </w:lvl>
    <w:lvl w:ilvl="7" w:tentative="0">
      <w:start w:val="1"/>
      <w:numFmt w:val="lowerLetter"/>
      <w:lvlText w:val="%8)"/>
      <w:lvlJc w:val="left"/>
      <w:pPr>
        <w:ind w:left="1942" w:hanging="420"/>
      </w:pPr>
    </w:lvl>
    <w:lvl w:ilvl="8" w:tentative="0">
      <w:start w:val="1"/>
      <w:numFmt w:val="lowerRoman"/>
      <w:lvlText w:val="%9."/>
      <w:lvlJc w:val="right"/>
      <w:pPr>
        <w:ind w:left="2362" w:hanging="420"/>
      </w:pPr>
    </w:lvl>
  </w:abstractNum>
  <w:abstractNum w:abstractNumId="4">
    <w:nsid w:val="01B830A2"/>
    <w:multiLevelType w:val="multilevel"/>
    <w:tmpl w:val="01B830A2"/>
    <w:lvl w:ilvl="0" w:tentative="0">
      <w:start w:val="23"/>
      <w:numFmt w:val="decimal"/>
      <w:lvlText w:val="%1."/>
      <w:lvlJc w:val="left"/>
      <w:pPr>
        <w:ind w:left="420" w:hanging="420"/>
      </w:pPr>
      <w:rPr>
        <w:rFonts w:hint="eastAsia"/>
      </w:rPr>
    </w:lvl>
    <w:lvl w:ilvl="1" w:tentative="0">
      <w:start w:val="4"/>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
    <w:nsid w:val="029113A2"/>
    <w:multiLevelType w:val="multilevel"/>
    <w:tmpl w:val="029113A2"/>
    <w:lvl w:ilvl="0" w:tentative="0">
      <w:start w:val="1"/>
      <w:numFmt w:val="decimal"/>
      <w:lvlText w:val="15.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6">
    <w:nsid w:val="095B2918"/>
    <w:multiLevelType w:val="multilevel"/>
    <w:tmpl w:val="095B2918"/>
    <w:lvl w:ilvl="0" w:tentative="0">
      <w:start w:val="1"/>
      <w:numFmt w:val="decimal"/>
      <w:lvlText w:val="1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7">
    <w:nsid w:val="0AF92C7A"/>
    <w:multiLevelType w:val="multilevel"/>
    <w:tmpl w:val="0AF92C7A"/>
    <w:lvl w:ilvl="0" w:tentative="0">
      <w:start w:val="1"/>
      <w:numFmt w:val="decimal"/>
      <w:lvlText w:val="25. %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1077BE7"/>
    <w:multiLevelType w:val="multilevel"/>
    <w:tmpl w:val="11077BE7"/>
    <w:lvl w:ilvl="0" w:tentative="0">
      <w:start w:val="27"/>
      <w:numFmt w:val="decimal"/>
      <w:lvlText w:val="%1.2.8"/>
      <w:lvlJc w:val="left"/>
      <w:pPr>
        <w:ind w:left="420" w:hanging="420"/>
      </w:pPr>
      <w:rPr>
        <w:rFonts w:hint="eastAsia"/>
      </w:rPr>
    </w:lvl>
    <w:lvl w:ilvl="1" w:tentative="0">
      <w:start w:val="1"/>
      <w:numFmt w:val="lowerLetter"/>
      <w:lvlText w:val="%2)"/>
      <w:lvlJc w:val="left"/>
      <w:pPr>
        <w:ind w:left="-578" w:hanging="420"/>
      </w:pPr>
    </w:lvl>
    <w:lvl w:ilvl="2" w:tentative="0">
      <w:start w:val="1"/>
      <w:numFmt w:val="lowerRoman"/>
      <w:lvlText w:val="%3."/>
      <w:lvlJc w:val="right"/>
      <w:pPr>
        <w:ind w:left="-158" w:hanging="420"/>
      </w:pPr>
    </w:lvl>
    <w:lvl w:ilvl="3" w:tentative="0">
      <w:start w:val="1"/>
      <w:numFmt w:val="decimal"/>
      <w:lvlText w:val="%4."/>
      <w:lvlJc w:val="left"/>
      <w:pPr>
        <w:ind w:left="262" w:hanging="420"/>
      </w:pPr>
    </w:lvl>
    <w:lvl w:ilvl="4" w:tentative="0">
      <w:start w:val="1"/>
      <w:numFmt w:val="lowerLetter"/>
      <w:lvlText w:val="%5)"/>
      <w:lvlJc w:val="left"/>
      <w:pPr>
        <w:ind w:left="682" w:hanging="420"/>
      </w:pPr>
    </w:lvl>
    <w:lvl w:ilvl="5" w:tentative="0">
      <w:start w:val="1"/>
      <w:numFmt w:val="lowerRoman"/>
      <w:lvlText w:val="%6."/>
      <w:lvlJc w:val="right"/>
      <w:pPr>
        <w:ind w:left="1102" w:hanging="420"/>
      </w:pPr>
    </w:lvl>
    <w:lvl w:ilvl="6" w:tentative="0">
      <w:start w:val="1"/>
      <w:numFmt w:val="decimal"/>
      <w:lvlText w:val="%7."/>
      <w:lvlJc w:val="left"/>
      <w:pPr>
        <w:ind w:left="1522" w:hanging="420"/>
      </w:pPr>
    </w:lvl>
    <w:lvl w:ilvl="7" w:tentative="0">
      <w:start w:val="1"/>
      <w:numFmt w:val="lowerLetter"/>
      <w:lvlText w:val="%8)"/>
      <w:lvlJc w:val="left"/>
      <w:pPr>
        <w:ind w:left="1942" w:hanging="420"/>
      </w:pPr>
    </w:lvl>
    <w:lvl w:ilvl="8" w:tentative="0">
      <w:start w:val="1"/>
      <w:numFmt w:val="lowerRoman"/>
      <w:lvlText w:val="%9."/>
      <w:lvlJc w:val="right"/>
      <w:pPr>
        <w:ind w:left="2362" w:hanging="420"/>
      </w:pPr>
    </w:lvl>
  </w:abstractNum>
  <w:abstractNum w:abstractNumId="10">
    <w:nsid w:val="11831104"/>
    <w:multiLevelType w:val="multilevel"/>
    <w:tmpl w:val="11831104"/>
    <w:lvl w:ilvl="0" w:tentative="0">
      <w:start w:val="27"/>
      <w:numFmt w:val="decimal"/>
      <w:lvlText w:val="%1.3.1"/>
      <w:lvlJc w:val="left"/>
      <w:pPr>
        <w:ind w:left="1384" w:hanging="420"/>
      </w:p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1">
    <w:nsid w:val="13097703"/>
    <w:multiLevelType w:val="multilevel"/>
    <w:tmpl w:val="1309770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14DF6468"/>
    <w:multiLevelType w:val="multilevel"/>
    <w:tmpl w:val="14DF6468"/>
    <w:lvl w:ilvl="0" w:tentative="0">
      <w:start w:val="1"/>
      <w:numFmt w:val="decimal"/>
      <w:lvlText w:val="24. %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152B3F79"/>
    <w:multiLevelType w:val="multilevel"/>
    <w:tmpl w:val="152B3F79"/>
    <w:lvl w:ilvl="0" w:tentative="0">
      <w:start w:val="2"/>
      <w:numFmt w:val="decimal"/>
      <w:lvlText w:val="33.1.%1"/>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5976783"/>
    <w:multiLevelType w:val="multilevel"/>
    <w:tmpl w:val="15976783"/>
    <w:lvl w:ilvl="0" w:tentative="0">
      <w:start w:val="1"/>
      <w:numFmt w:val="decimal"/>
      <w:lvlText w:val="17.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5">
    <w:nsid w:val="19C5477B"/>
    <w:multiLevelType w:val="multilevel"/>
    <w:tmpl w:val="19C5477B"/>
    <w:lvl w:ilvl="0" w:tentative="0">
      <w:start w:val="1"/>
      <w:numFmt w:val="decimal"/>
      <w:lvlText w:val="10. %1 "/>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1A9F0EE7"/>
    <w:multiLevelType w:val="multilevel"/>
    <w:tmpl w:val="1A9F0EE7"/>
    <w:lvl w:ilvl="0" w:tentative="0">
      <w:start w:val="1"/>
      <w:numFmt w:val="decimal"/>
      <w:lvlText w:val="23.3.%1"/>
      <w:lvlJc w:val="left"/>
      <w:pPr>
        <w:ind w:left="1369" w:hanging="420"/>
      </w:pPr>
      <w:rPr>
        <w:rFonts w:hint="eastAsia" w:asciiTheme="minorEastAsia" w:hAnsiTheme="minorEastAsia" w:eastAsiaTheme="minorEastAsia"/>
      </w:rPr>
    </w:lvl>
    <w:lvl w:ilvl="1" w:tentative="0">
      <w:start w:val="1"/>
      <w:numFmt w:val="lowerLetter"/>
      <w:lvlText w:val="%2)"/>
      <w:lvlJc w:val="left"/>
      <w:pPr>
        <w:ind w:left="1789" w:hanging="420"/>
      </w:pPr>
    </w:lvl>
    <w:lvl w:ilvl="2" w:tentative="0">
      <w:start w:val="1"/>
      <w:numFmt w:val="lowerRoman"/>
      <w:lvlText w:val="%3."/>
      <w:lvlJc w:val="right"/>
      <w:pPr>
        <w:ind w:left="2209" w:hanging="420"/>
      </w:pPr>
    </w:lvl>
    <w:lvl w:ilvl="3" w:tentative="0">
      <w:start w:val="1"/>
      <w:numFmt w:val="decimal"/>
      <w:lvlText w:val="%4."/>
      <w:lvlJc w:val="left"/>
      <w:pPr>
        <w:ind w:left="2629" w:hanging="420"/>
      </w:pPr>
    </w:lvl>
    <w:lvl w:ilvl="4" w:tentative="0">
      <w:start w:val="1"/>
      <w:numFmt w:val="lowerLetter"/>
      <w:lvlText w:val="%5)"/>
      <w:lvlJc w:val="left"/>
      <w:pPr>
        <w:ind w:left="3049" w:hanging="420"/>
      </w:pPr>
    </w:lvl>
    <w:lvl w:ilvl="5" w:tentative="0">
      <w:start w:val="1"/>
      <w:numFmt w:val="lowerRoman"/>
      <w:lvlText w:val="%6."/>
      <w:lvlJc w:val="right"/>
      <w:pPr>
        <w:ind w:left="3469" w:hanging="420"/>
      </w:pPr>
    </w:lvl>
    <w:lvl w:ilvl="6" w:tentative="0">
      <w:start w:val="1"/>
      <w:numFmt w:val="decimal"/>
      <w:lvlText w:val="%7."/>
      <w:lvlJc w:val="left"/>
      <w:pPr>
        <w:ind w:left="3889" w:hanging="420"/>
      </w:pPr>
    </w:lvl>
    <w:lvl w:ilvl="7" w:tentative="0">
      <w:start w:val="1"/>
      <w:numFmt w:val="lowerLetter"/>
      <w:lvlText w:val="%8)"/>
      <w:lvlJc w:val="left"/>
      <w:pPr>
        <w:ind w:left="4309" w:hanging="420"/>
      </w:pPr>
    </w:lvl>
    <w:lvl w:ilvl="8" w:tentative="0">
      <w:start w:val="1"/>
      <w:numFmt w:val="lowerRoman"/>
      <w:lvlText w:val="%9."/>
      <w:lvlJc w:val="right"/>
      <w:pPr>
        <w:ind w:left="4729" w:hanging="420"/>
      </w:pPr>
    </w:lvl>
  </w:abstractNum>
  <w:abstractNum w:abstractNumId="17">
    <w:nsid w:val="1B791889"/>
    <w:multiLevelType w:val="multilevel"/>
    <w:tmpl w:val="1B791889"/>
    <w:lvl w:ilvl="0" w:tentative="0">
      <w:start w:val="27"/>
      <w:numFmt w:val="decimal"/>
      <w:lvlText w:val="%1.3.3"/>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8">
    <w:nsid w:val="214802C3"/>
    <w:multiLevelType w:val="multilevel"/>
    <w:tmpl w:val="214802C3"/>
    <w:lvl w:ilvl="0" w:tentative="0">
      <w:start w:val="1"/>
      <w:numFmt w:val="decimal"/>
      <w:lvlText w:val="%1."/>
      <w:lvlJc w:val="left"/>
      <w:pPr>
        <w:ind w:left="420" w:hanging="420"/>
      </w:pPr>
      <w:rPr>
        <w:rFonts w:hint="eastAsia"/>
      </w:rPr>
    </w:lvl>
    <w:lvl w:ilvl="1" w:tentative="0">
      <w:start w:val="1"/>
      <w:numFmt w:val="decimal"/>
      <w:lvlText w:val="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22084769"/>
    <w:multiLevelType w:val="multilevel"/>
    <w:tmpl w:val="22084769"/>
    <w:lvl w:ilvl="0" w:tentative="0">
      <w:start w:val="1"/>
      <w:numFmt w:val="decimal"/>
      <w:lvlText w:val="1.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0">
    <w:nsid w:val="22BE7ADB"/>
    <w:multiLevelType w:val="multilevel"/>
    <w:tmpl w:val="22BE7ADB"/>
    <w:lvl w:ilvl="0" w:tentative="0">
      <w:start w:val="4"/>
      <w:numFmt w:val="decimal"/>
      <w:lvlText w:val="3. %1 "/>
      <w:lvlJc w:val="left"/>
      <w:pPr>
        <w:ind w:left="141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2">
    <w:nsid w:val="25FF5A5D"/>
    <w:multiLevelType w:val="multilevel"/>
    <w:tmpl w:val="25FF5A5D"/>
    <w:lvl w:ilvl="0" w:tentative="0">
      <w:start w:val="32"/>
      <w:numFmt w:val="decimal"/>
      <w:lvlText w:val="%1."/>
      <w:lvlJc w:val="left"/>
      <w:pPr>
        <w:ind w:left="420" w:hanging="420"/>
      </w:pPr>
      <w:rPr>
        <w:rFonts w:hint="eastAsia"/>
      </w:rPr>
    </w:lvl>
    <w:lvl w:ilvl="1" w:tentative="0">
      <w:start w:val="1"/>
      <w:numFmt w:val="decimal"/>
      <w:lvlText w:val="26.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3">
    <w:nsid w:val="27C72BCB"/>
    <w:multiLevelType w:val="multilevel"/>
    <w:tmpl w:val="27C72BCB"/>
    <w:lvl w:ilvl="0" w:tentative="0">
      <w:start w:val="1"/>
      <w:numFmt w:val="decimal"/>
      <w:lvlText w:val="1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4">
    <w:nsid w:val="297E0DFA"/>
    <w:multiLevelType w:val="multilevel"/>
    <w:tmpl w:val="297E0DFA"/>
    <w:lvl w:ilvl="0" w:tentative="0">
      <w:start w:val="27"/>
      <w:numFmt w:val="decimal"/>
      <w:lvlText w:val="%1.2.3"/>
      <w:lvlJc w:val="left"/>
      <w:pPr>
        <w:ind w:left="1130" w:hanging="420"/>
      </w:pPr>
      <w:rPr>
        <w:rFonts w:hint="eastAsia"/>
      </w:rPr>
    </w:lvl>
    <w:lvl w:ilvl="1" w:tentative="0">
      <w:start w:val="1"/>
      <w:numFmt w:val="lowerLetter"/>
      <w:lvlText w:val="%2)"/>
      <w:lvlJc w:val="left"/>
      <w:pPr>
        <w:ind w:left="132" w:hanging="420"/>
      </w:pPr>
    </w:lvl>
    <w:lvl w:ilvl="2" w:tentative="0">
      <w:start w:val="1"/>
      <w:numFmt w:val="lowerRoman"/>
      <w:lvlText w:val="%3."/>
      <w:lvlJc w:val="right"/>
      <w:pPr>
        <w:ind w:left="552" w:hanging="420"/>
      </w:pPr>
    </w:lvl>
    <w:lvl w:ilvl="3" w:tentative="0">
      <w:start w:val="1"/>
      <w:numFmt w:val="decimal"/>
      <w:lvlText w:val="%4."/>
      <w:lvlJc w:val="left"/>
      <w:pPr>
        <w:ind w:left="972" w:hanging="420"/>
      </w:pPr>
    </w:lvl>
    <w:lvl w:ilvl="4" w:tentative="0">
      <w:start w:val="1"/>
      <w:numFmt w:val="lowerLetter"/>
      <w:lvlText w:val="%5)"/>
      <w:lvlJc w:val="left"/>
      <w:pPr>
        <w:ind w:left="1392" w:hanging="420"/>
      </w:pPr>
    </w:lvl>
    <w:lvl w:ilvl="5" w:tentative="0">
      <w:start w:val="1"/>
      <w:numFmt w:val="lowerRoman"/>
      <w:lvlText w:val="%6."/>
      <w:lvlJc w:val="right"/>
      <w:pPr>
        <w:ind w:left="1812" w:hanging="420"/>
      </w:pPr>
    </w:lvl>
    <w:lvl w:ilvl="6" w:tentative="0">
      <w:start w:val="1"/>
      <w:numFmt w:val="decimal"/>
      <w:lvlText w:val="%7."/>
      <w:lvlJc w:val="left"/>
      <w:pPr>
        <w:ind w:left="2232" w:hanging="420"/>
      </w:pPr>
    </w:lvl>
    <w:lvl w:ilvl="7" w:tentative="0">
      <w:start w:val="1"/>
      <w:numFmt w:val="lowerLetter"/>
      <w:lvlText w:val="%8)"/>
      <w:lvlJc w:val="left"/>
      <w:pPr>
        <w:ind w:left="2652" w:hanging="420"/>
      </w:pPr>
    </w:lvl>
    <w:lvl w:ilvl="8" w:tentative="0">
      <w:start w:val="1"/>
      <w:numFmt w:val="lowerRoman"/>
      <w:lvlText w:val="%9."/>
      <w:lvlJc w:val="right"/>
      <w:pPr>
        <w:ind w:left="3072" w:hanging="420"/>
      </w:pPr>
    </w:lvl>
  </w:abstractNum>
  <w:abstractNum w:abstractNumId="25">
    <w:nsid w:val="2BFA58BF"/>
    <w:multiLevelType w:val="multilevel"/>
    <w:tmpl w:val="2BFA58BF"/>
    <w:lvl w:ilvl="0" w:tentative="0">
      <w:start w:val="1"/>
      <w:numFmt w:val="decimal"/>
      <w:lvlText w:val="3.3.%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26">
    <w:nsid w:val="313C1637"/>
    <w:multiLevelType w:val="multilevel"/>
    <w:tmpl w:val="313C1637"/>
    <w:lvl w:ilvl="0" w:tentative="0">
      <w:start w:val="1"/>
      <w:numFmt w:val="decimal"/>
      <w:lvlText w:val="3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7">
    <w:nsid w:val="324B30FA"/>
    <w:multiLevelType w:val="multilevel"/>
    <w:tmpl w:val="324B30FA"/>
    <w:lvl w:ilvl="0" w:tentative="0">
      <w:start w:val="1"/>
      <w:numFmt w:val="decimal"/>
      <w:lvlText w:val="18.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8">
    <w:nsid w:val="37347244"/>
    <w:multiLevelType w:val="multilevel"/>
    <w:tmpl w:val="37347244"/>
    <w:lvl w:ilvl="0" w:tentative="0">
      <w:start w:val="1"/>
      <w:numFmt w:val="decimal"/>
      <w:lvlText w:val="28. %1 "/>
      <w:lvlJc w:val="left"/>
      <w:pPr>
        <w:ind w:left="1384" w:hanging="420"/>
      </w:pPr>
      <w:rPr>
        <w:rFonts w:hint="eastAsia" w:asciiTheme="minorEastAsia" w:hAnsiTheme="minorEastAsia" w:eastAsiaTheme="minor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9">
    <w:nsid w:val="37B308D7"/>
    <w:multiLevelType w:val="multilevel"/>
    <w:tmpl w:val="37B308D7"/>
    <w:lvl w:ilvl="0" w:tentative="0">
      <w:start w:val="26"/>
      <w:numFmt w:val="decimal"/>
      <w:lvlText w:val="%1."/>
      <w:lvlJc w:val="left"/>
      <w:pPr>
        <w:ind w:left="420" w:hanging="420"/>
      </w:pPr>
      <w:rPr>
        <w:rFonts w:hint="eastAsia"/>
      </w:rPr>
    </w:lvl>
    <w:lvl w:ilvl="1" w:tentative="0">
      <w:start w:val="1"/>
      <w:numFmt w:val="decimal"/>
      <w:lvlText w:val="26.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0">
    <w:nsid w:val="39314D43"/>
    <w:multiLevelType w:val="multilevel"/>
    <w:tmpl w:val="39314D43"/>
    <w:lvl w:ilvl="0" w:tentative="0">
      <w:start w:val="1"/>
      <w:numFmt w:val="decimal"/>
      <w:lvlText w:val="27.1.%1"/>
      <w:lvlJc w:val="left"/>
      <w:pPr>
        <w:ind w:left="450" w:hanging="420"/>
      </w:pPr>
      <w:rPr>
        <w:rFonts w:hint="eastAsia"/>
      </w:rPr>
    </w:lvl>
    <w:lvl w:ilvl="1" w:tentative="0">
      <w:start w:val="1"/>
      <w:numFmt w:val="lowerLetter"/>
      <w:lvlText w:val="%2)"/>
      <w:lvlJc w:val="left"/>
      <w:pPr>
        <w:ind w:left="870" w:hanging="420"/>
      </w:pPr>
    </w:lvl>
    <w:lvl w:ilvl="2" w:tentative="0">
      <w:start w:val="1"/>
      <w:numFmt w:val="lowerRoman"/>
      <w:lvlText w:val="%3."/>
      <w:lvlJc w:val="right"/>
      <w:pPr>
        <w:ind w:left="1290" w:hanging="420"/>
      </w:pPr>
    </w:lvl>
    <w:lvl w:ilvl="3" w:tentative="0">
      <w:start w:val="1"/>
      <w:numFmt w:val="decimal"/>
      <w:lvlText w:val="%4."/>
      <w:lvlJc w:val="left"/>
      <w:pPr>
        <w:ind w:left="1710" w:hanging="420"/>
      </w:pPr>
    </w:lvl>
    <w:lvl w:ilvl="4" w:tentative="0">
      <w:start w:val="1"/>
      <w:numFmt w:val="lowerLetter"/>
      <w:lvlText w:val="%5)"/>
      <w:lvlJc w:val="left"/>
      <w:pPr>
        <w:ind w:left="2130" w:hanging="420"/>
      </w:pPr>
    </w:lvl>
    <w:lvl w:ilvl="5" w:tentative="0">
      <w:start w:val="1"/>
      <w:numFmt w:val="lowerRoman"/>
      <w:lvlText w:val="%6."/>
      <w:lvlJc w:val="right"/>
      <w:pPr>
        <w:ind w:left="2550" w:hanging="420"/>
      </w:pPr>
    </w:lvl>
    <w:lvl w:ilvl="6" w:tentative="0">
      <w:start w:val="1"/>
      <w:numFmt w:val="decimal"/>
      <w:lvlText w:val="%7."/>
      <w:lvlJc w:val="left"/>
      <w:pPr>
        <w:ind w:left="2970" w:hanging="420"/>
      </w:pPr>
    </w:lvl>
    <w:lvl w:ilvl="7" w:tentative="0">
      <w:start w:val="1"/>
      <w:numFmt w:val="lowerLetter"/>
      <w:lvlText w:val="%8)"/>
      <w:lvlJc w:val="left"/>
      <w:pPr>
        <w:ind w:left="3390" w:hanging="420"/>
      </w:pPr>
    </w:lvl>
    <w:lvl w:ilvl="8" w:tentative="0">
      <w:start w:val="1"/>
      <w:numFmt w:val="lowerRoman"/>
      <w:lvlText w:val="%9."/>
      <w:lvlJc w:val="right"/>
      <w:pPr>
        <w:ind w:left="3810" w:hanging="420"/>
      </w:pPr>
    </w:lvl>
  </w:abstractNum>
  <w:abstractNum w:abstractNumId="31">
    <w:nsid w:val="3B4D4108"/>
    <w:multiLevelType w:val="multilevel"/>
    <w:tmpl w:val="3B4D4108"/>
    <w:lvl w:ilvl="0" w:tentative="0">
      <w:start w:val="1"/>
      <w:numFmt w:val="decimal"/>
      <w:lvlText w:val="2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2">
    <w:nsid w:val="3F1972E5"/>
    <w:multiLevelType w:val="multilevel"/>
    <w:tmpl w:val="3F1972E5"/>
    <w:lvl w:ilvl="0" w:tentative="0">
      <w:start w:val="1"/>
      <w:numFmt w:val="decimal"/>
      <w:lvlText w:val="2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3">
    <w:nsid w:val="43F26D24"/>
    <w:multiLevelType w:val="multilevel"/>
    <w:tmpl w:val="43F26D24"/>
    <w:lvl w:ilvl="0" w:tentative="0">
      <w:start w:val="33"/>
      <w:numFmt w:val="decimal"/>
      <w:lvlText w:val="%1."/>
      <w:lvlJc w:val="left"/>
      <w:pPr>
        <w:ind w:left="420" w:hanging="420"/>
      </w:pPr>
      <w:rPr>
        <w:rFonts w:hint="eastAsia"/>
        <w:color w:val="auto"/>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4">
    <w:nsid w:val="50271C0C"/>
    <w:multiLevelType w:val="multilevel"/>
    <w:tmpl w:val="50271C0C"/>
    <w:lvl w:ilvl="0" w:tentative="0">
      <w:start w:val="1"/>
      <w:numFmt w:val="decimal"/>
      <w:lvlText w:val="9.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5">
    <w:nsid w:val="51D76F8A"/>
    <w:multiLevelType w:val="multilevel"/>
    <w:tmpl w:val="51D76F8A"/>
    <w:lvl w:ilvl="0" w:tentative="0">
      <w:start w:val="1"/>
      <w:numFmt w:val="decimal"/>
      <w:lvlText w:val="1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6">
    <w:nsid w:val="53397A47"/>
    <w:multiLevelType w:val="multilevel"/>
    <w:tmpl w:val="53397A47"/>
    <w:lvl w:ilvl="0" w:tentative="0">
      <w:start w:val="27"/>
      <w:numFmt w:val="decimal"/>
      <w:lvlText w:val="%1.3.2"/>
      <w:lvlJc w:val="left"/>
      <w:pPr>
        <w:ind w:left="1384" w:hanging="420"/>
      </w:p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7">
    <w:nsid w:val="53AE05F9"/>
    <w:multiLevelType w:val="multilevel"/>
    <w:tmpl w:val="53AE05F9"/>
    <w:lvl w:ilvl="0" w:tentative="0">
      <w:start w:val="1"/>
      <w:numFmt w:val="decimal"/>
      <w:lvlText w:val="31. %1 "/>
      <w:lvlJc w:val="left"/>
      <w:pPr>
        <w:ind w:left="1833" w:hanging="420"/>
      </w:pPr>
      <w:rPr>
        <w:rFonts w:hint="eastAsia"/>
      </w:rPr>
    </w:lvl>
    <w:lvl w:ilvl="1" w:tentative="0">
      <w:start w:val="1"/>
      <w:numFmt w:val="lowerLetter"/>
      <w:lvlText w:val="%2)"/>
      <w:lvlJc w:val="left"/>
      <w:pPr>
        <w:ind w:left="2253" w:hanging="420"/>
      </w:pPr>
    </w:lvl>
    <w:lvl w:ilvl="2" w:tentative="0">
      <w:start w:val="1"/>
      <w:numFmt w:val="lowerRoman"/>
      <w:lvlText w:val="%3."/>
      <w:lvlJc w:val="right"/>
      <w:pPr>
        <w:ind w:left="2673" w:hanging="420"/>
      </w:pPr>
    </w:lvl>
    <w:lvl w:ilvl="3" w:tentative="0">
      <w:start w:val="1"/>
      <w:numFmt w:val="decimal"/>
      <w:lvlText w:val="%4."/>
      <w:lvlJc w:val="left"/>
      <w:pPr>
        <w:ind w:left="3093" w:hanging="420"/>
      </w:pPr>
    </w:lvl>
    <w:lvl w:ilvl="4" w:tentative="0">
      <w:start w:val="1"/>
      <w:numFmt w:val="lowerLetter"/>
      <w:lvlText w:val="%5)"/>
      <w:lvlJc w:val="left"/>
      <w:pPr>
        <w:ind w:left="3513" w:hanging="420"/>
      </w:pPr>
    </w:lvl>
    <w:lvl w:ilvl="5" w:tentative="0">
      <w:start w:val="1"/>
      <w:numFmt w:val="lowerRoman"/>
      <w:lvlText w:val="%6."/>
      <w:lvlJc w:val="right"/>
      <w:pPr>
        <w:ind w:left="3933" w:hanging="420"/>
      </w:pPr>
    </w:lvl>
    <w:lvl w:ilvl="6" w:tentative="0">
      <w:start w:val="1"/>
      <w:numFmt w:val="decimal"/>
      <w:lvlText w:val="%7."/>
      <w:lvlJc w:val="left"/>
      <w:pPr>
        <w:ind w:left="4353" w:hanging="420"/>
      </w:pPr>
    </w:lvl>
    <w:lvl w:ilvl="7" w:tentative="0">
      <w:start w:val="1"/>
      <w:numFmt w:val="lowerLetter"/>
      <w:lvlText w:val="%8)"/>
      <w:lvlJc w:val="left"/>
      <w:pPr>
        <w:ind w:left="4773" w:hanging="420"/>
      </w:pPr>
    </w:lvl>
    <w:lvl w:ilvl="8" w:tentative="0">
      <w:start w:val="1"/>
      <w:numFmt w:val="lowerRoman"/>
      <w:lvlText w:val="%9."/>
      <w:lvlJc w:val="right"/>
      <w:pPr>
        <w:ind w:left="5193" w:hanging="420"/>
      </w:pPr>
    </w:lvl>
  </w:abstractNum>
  <w:abstractNum w:abstractNumId="38">
    <w:nsid w:val="54662664"/>
    <w:multiLevelType w:val="multilevel"/>
    <w:tmpl w:val="54662664"/>
    <w:lvl w:ilvl="0" w:tentative="0">
      <w:start w:val="1"/>
      <w:numFmt w:val="decimal"/>
      <w:lvlText w:val="11.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9">
    <w:nsid w:val="585E5313"/>
    <w:multiLevelType w:val="multilevel"/>
    <w:tmpl w:val="585E5313"/>
    <w:lvl w:ilvl="0" w:tentative="0">
      <w:start w:val="27"/>
      <w:numFmt w:val="decimal"/>
      <w:lvlText w:val="%1.2.7"/>
      <w:lvlJc w:val="left"/>
      <w:pPr>
        <w:ind w:left="420" w:hanging="420"/>
      </w:pPr>
      <w:rPr>
        <w:rFonts w:hint="eastAsia"/>
      </w:rPr>
    </w:lvl>
    <w:lvl w:ilvl="1" w:tentative="0">
      <w:start w:val="1"/>
      <w:numFmt w:val="lowerLetter"/>
      <w:lvlText w:val="%2)"/>
      <w:lvlJc w:val="left"/>
      <w:pPr>
        <w:ind w:left="-578" w:hanging="420"/>
      </w:pPr>
    </w:lvl>
    <w:lvl w:ilvl="2" w:tentative="0">
      <w:start w:val="1"/>
      <w:numFmt w:val="lowerRoman"/>
      <w:lvlText w:val="%3."/>
      <w:lvlJc w:val="right"/>
      <w:pPr>
        <w:ind w:left="-158" w:hanging="420"/>
      </w:pPr>
    </w:lvl>
    <w:lvl w:ilvl="3" w:tentative="0">
      <w:start w:val="1"/>
      <w:numFmt w:val="decimal"/>
      <w:lvlText w:val="%4."/>
      <w:lvlJc w:val="left"/>
      <w:pPr>
        <w:ind w:left="262" w:hanging="420"/>
      </w:pPr>
    </w:lvl>
    <w:lvl w:ilvl="4" w:tentative="0">
      <w:start w:val="1"/>
      <w:numFmt w:val="lowerLetter"/>
      <w:lvlText w:val="%5)"/>
      <w:lvlJc w:val="left"/>
      <w:pPr>
        <w:ind w:left="682" w:hanging="420"/>
      </w:pPr>
    </w:lvl>
    <w:lvl w:ilvl="5" w:tentative="0">
      <w:start w:val="1"/>
      <w:numFmt w:val="lowerRoman"/>
      <w:lvlText w:val="%6."/>
      <w:lvlJc w:val="right"/>
      <w:pPr>
        <w:ind w:left="1102" w:hanging="420"/>
      </w:pPr>
    </w:lvl>
    <w:lvl w:ilvl="6" w:tentative="0">
      <w:start w:val="1"/>
      <w:numFmt w:val="decimal"/>
      <w:lvlText w:val="%7."/>
      <w:lvlJc w:val="left"/>
      <w:pPr>
        <w:ind w:left="1522" w:hanging="420"/>
      </w:pPr>
    </w:lvl>
    <w:lvl w:ilvl="7" w:tentative="0">
      <w:start w:val="1"/>
      <w:numFmt w:val="lowerLetter"/>
      <w:lvlText w:val="%8)"/>
      <w:lvlJc w:val="left"/>
      <w:pPr>
        <w:ind w:left="1942" w:hanging="420"/>
      </w:pPr>
    </w:lvl>
    <w:lvl w:ilvl="8" w:tentative="0">
      <w:start w:val="1"/>
      <w:numFmt w:val="lowerRoman"/>
      <w:lvlText w:val="%9."/>
      <w:lvlJc w:val="right"/>
      <w:pPr>
        <w:ind w:left="2362" w:hanging="420"/>
      </w:pPr>
    </w:lvl>
  </w:abstractNum>
  <w:abstractNum w:abstractNumId="40">
    <w:nsid w:val="592D6ABA"/>
    <w:multiLevelType w:val="multilevel"/>
    <w:tmpl w:val="592D6ABA"/>
    <w:lvl w:ilvl="0" w:tentative="0">
      <w:start w:val="1"/>
      <w:numFmt w:val="decimal"/>
      <w:lvlText w:val="27. %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9F817E8"/>
    <w:multiLevelType w:val="singleLevel"/>
    <w:tmpl w:val="59F817E8"/>
    <w:lvl w:ilvl="0" w:tentative="0">
      <w:start w:val="1"/>
      <w:numFmt w:val="chineseCounting"/>
      <w:pStyle w:val="57"/>
      <w:suff w:val="nothing"/>
      <w:lvlText w:val="%1、"/>
      <w:lvlJc w:val="left"/>
    </w:lvl>
  </w:abstractNum>
  <w:abstractNum w:abstractNumId="42">
    <w:nsid w:val="62E37230"/>
    <w:multiLevelType w:val="multilevel"/>
    <w:tmpl w:val="62E37230"/>
    <w:lvl w:ilvl="0" w:tentative="0">
      <w:start w:val="7"/>
      <w:numFmt w:val="decimal"/>
      <w:lvlText w:val="3.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37A176A"/>
    <w:multiLevelType w:val="multilevel"/>
    <w:tmpl w:val="637A176A"/>
    <w:lvl w:ilvl="0" w:tentative="0">
      <w:start w:val="27"/>
      <w:numFmt w:val="decimal"/>
      <w:lvlText w:val="%1.3.4"/>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4">
    <w:nsid w:val="682F12A7"/>
    <w:multiLevelType w:val="multilevel"/>
    <w:tmpl w:val="682F12A7"/>
    <w:lvl w:ilvl="0" w:tentative="0">
      <w:start w:val="1"/>
      <w:numFmt w:val="decimal"/>
      <w:lvlText w:val="3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5">
    <w:nsid w:val="6A103D04"/>
    <w:multiLevelType w:val="multilevel"/>
    <w:tmpl w:val="6A103D04"/>
    <w:lvl w:ilvl="0" w:tentative="0">
      <w:start w:val="3"/>
      <w:numFmt w:val="decimal"/>
      <w:lvlText w:val="%1."/>
      <w:lvlJc w:val="left"/>
      <w:pPr>
        <w:ind w:left="420" w:hanging="420"/>
      </w:pPr>
      <w:rPr>
        <w:rFonts w:hint="eastAsia"/>
      </w:rPr>
    </w:lvl>
    <w:lvl w:ilvl="1" w:tentative="0">
      <w:start w:val="2"/>
      <w:numFmt w:val="decimal"/>
      <w:lvlText w:val="3.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6">
    <w:nsid w:val="6A7B4455"/>
    <w:multiLevelType w:val="multilevel"/>
    <w:tmpl w:val="6A7B4455"/>
    <w:lvl w:ilvl="0" w:tentative="0">
      <w:start w:val="1"/>
      <w:numFmt w:val="decimal"/>
      <w:lvlText w:val="2. %1 "/>
      <w:lvlJc w:val="left"/>
      <w:pPr>
        <w:ind w:left="964" w:hanging="544"/>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47">
    <w:nsid w:val="6AC30090"/>
    <w:multiLevelType w:val="multilevel"/>
    <w:tmpl w:val="6AC30090"/>
    <w:lvl w:ilvl="0" w:tentative="0">
      <w:start w:val="1"/>
      <w:numFmt w:val="decimal"/>
      <w:lvlText w:val="3.6.%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8">
    <w:nsid w:val="72A571BA"/>
    <w:multiLevelType w:val="multilevel"/>
    <w:tmpl w:val="72A571BA"/>
    <w:lvl w:ilvl="0" w:tentative="0">
      <w:start w:val="27"/>
      <w:numFmt w:val="decimal"/>
      <w:lvlText w:val="%1.3.5"/>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9">
    <w:nsid w:val="739739AC"/>
    <w:multiLevelType w:val="multilevel"/>
    <w:tmpl w:val="739739AC"/>
    <w:lvl w:ilvl="0" w:tentative="0">
      <w:start w:val="23"/>
      <w:numFmt w:val="decimal"/>
      <w:lvlText w:val="%1."/>
      <w:lvlJc w:val="left"/>
      <w:pPr>
        <w:ind w:left="420" w:hanging="420"/>
      </w:pPr>
      <w:rPr>
        <w:rFonts w:hint="eastAsia"/>
      </w:rPr>
    </w:lvl>
    <w:lvl w:ilvl="1" w:tentative="0">
      <w:start w:val="1"/>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0">
    <w:nsid w:val="74C15544"/>
    <w:multiLevelType w:val="multilevel"/>
    <w:tmpl w:val="74C15544"/>
    <w:lvl w:ilvl="0" w:tentative="0">
      <w:start w:val="1"/>
      <w:numFmt w:val="decimal"/>
      <w:lvlText w:val="16.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1">
    <w:nsid w:val="769B59E4"/>
    <w:multiLevelType w:val="multilevel"/>
    <w:tmpl w:val="769B59E4"/>
    <w:lvl w:ilvl="0" w:tentative="0">
      <w:start w:val="1"/>
      <w:numFmt w:val="decimal"/>
      <w:lvlText w:val="3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2">
    <w:nsid w:val="77900F89"/>
    <w:multiLevelType w:val="multilevel"/>
    <w:tmpl w:val="77900F89"/>
    <w:lvl w:ilvl="0" w:tentative="0">
      <w:start w:val="1"/>
      <w:numFmt w:val="decimal"/>
      <w:lvlText w:val="4.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84952E2"/>
    <w:multiLevelType w:val="multilevel"/>
    <w:tmpl w:val="784952E2"/>
    <w:lvl w:ilvl="0" w:tentative="0">
      <w:start w:val="1"/>
      <w:numFmt w:val="decimal"/>
      <w:lvlText w:val="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4">
    <w:nsid w:val="79661C85"/>
    <w:multiLevelType w:val="multilevel"/>
    <w:tmpl w:val="79661C85"/>
    <w:lvl w:ilvl="0" w:tentative="0">
      <w:start w:val="27"/>
      <w:numFmt w:val="decimal"/>
      <w:lvlText w:val="%1.2.5"/>
      <w:lvlJc w:val="left"/>
      <w:pPr>
        <w:ind w:left="1838"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A130572"/>
    <w:multiLevelType w:val="multilevel"/>
    <w:tmpl w:val="7A130572"/>
    <w:lvl w:ilvl="0" w:tentative="0">
      <w:start w:val="1"/>
      <w:numFmt w:val="decimal"/>
      <w:lvlText w:val="%1."/>
      <w:lvlJc w:val="left"/>
      <w:pPr>
        <w:ind w:left="420" w:hanging="420"/>
      </w:pPr>
      <w:rPr>
        <w:rFonts w:hint="eastAsia"/>
      </w:rPr>
    </w:lvl>
    <w:lvl w:ilvl="1" w:tentative="0">
      <w:start w:val="2"/>
      <w:numFmt w:val="decimal"/>
      <w:lvlText w:val="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6">
    <w:nsid w:val="7CB627DC"/>
    <w:multiLevelType w:val="multilevel"/>
    <w:tmpl w:val="7CB627DC"/>
    <w:lvl w:ilvl="0" w:tentative="0">
      <w:start w:val="27"/>
      <w:numFmt w:val="decimal"/>
      <w:lvlText w:val="%1.2.6"/>
      <w:lvlJc w:val="left"/>
      <w:pPr>
        <w:ind w:left="1838"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D242C66"/>
    <w:multiLevelType w:val="multilevel"/>
    <w:tmpl w:val="7D242C6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8">
    <w:nsid w:val="7D767924"/>
    <w:multiLevelType w:val="multilevel"/>
    <w:tmpl w:val="7D767924"/>
    <w:lvl w:ilvl="0" w:tentative="0">
      <w:start w:val="33"/>
      <w:numFmt w:val="decimal"/>
      <w:lvlText w:val="%1.1.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 w:numId="2">
    <w:abstractNumId w:val="2"/>
  </w:num>
  <w:num w:numId="3">
    <w:abstractNumId w:val="41"/>
  </w:num>
  <w:num w:numId="4">
    <w:abstractNumId w:val="1"/>
  </w:num>
  <w:num w:numId="5">
    <w:abstractNumId w:val="57"/>
  </w:num>
  <w:num w:numId="6">
    <w:abstractNumId w:val="11"/>
  </w:num>
  <w:num w:numId="7">
    <w:abstractNumId w:val="18"/>
  </w:num>
  <w:num w:numId="8">
    <w:abstractNumId w:val="19"/>
  </w:num>
  <w:num w:numId="9">
    <w:abstractNumId w:val="46"/>
  </w:num>
  <w:num w:numId="10">
    <w:abstractNumId w:val="55"/>
  </w:num>
  <w:num w:numId="11">
    <w:abstractNumId w:val="53"/>
  </w:num>
  <w:num w:numId="12">
    <w:abstractNumId w:val="45"/>
  </w:num>
  <w:num w:numId="13">
    <w:abstractNumId w:val="25"/>
  </w:num>
  <w:num w:numId="14">
    <w:abstractNumId w:val="20"/>
  </w:num>
  <w:num w:numId="15">
    <w:abstractNumId w:val="47"/>
  </w:num>
  <w:num w:numId="16">
    <w:abstractNumId w:val="42"/>
  </w:num>
  <w:num w:numId="17">
    <w:abstractNumId w:val="52"/>
  </w:num>
  <w:num w:numId="18">
    <w:abstractNumId w:val="34"/>
  </w:num>
  <w:num w:numId="19">
    <w:abstractNumId w:val="15"/>
  </w:num>
  <w:num w:numId="20">
    <w:abstractNumId w:val="38"/>
  </w:num>
  <w:num w:numId="21">
    <w:abstractNumId w:val="6"/>
  </w:num>
  <w:num w:numId="22">
    <w:abstractNumId w:val="23"/>
  </w:num>
  <w:num w:numId="23">
    <w:abstractNumId w:val="35"/>
  </w:num>
  <w:num w:numId="24">
    <w:abstractNumId w:val="5"/>
  </w:num>
  <w:num w:numId="25">
    <w:abstractNumId w:val="50"/>
  </w:num>
  <w:num w:numId="26">
    <w:abstractNumId w:val="14"/>
  </w:num>
  <w:num w:numId="27">
    <w:abstractNumId w:val="27"/>
  </w:num>
  <w:num w:numId="28">
    <w:abstractNumId w:val="31"/>
  </w:num>
  <w:num w:numId="29">
    <w:abstractNumId w:val="21"/>
  </w:num>
  <w:num w:numId="30">
    <w:abstractNumId w:val="49"/>
  </w:num>
  <w:num w:numId="31">
    <w:abstractNumId w:val="32"/>
  </w:num>
  <w:num w:numId="32">
    <w:abstractNumId w:val="16"/>
  </w:num>
  <w:num w:numId="33">
    <w:abstractNumId w:val="4"/>
  </w:num>
  <w:num w:numId="34">
    <w:abstractNumId w:val="12"/>
  </w:num>
  <w:num w:numId="35">
    <w:abstractNumId w:val="7"/>
  </w:num>
  <w:num w:numId="36">
    <w:abstractNumId w:val="2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51"/>
  </w:num>
  <w:num w:numId="52">
    <w:abstractNumId w:val="37"/>
  </w:num>
  <w:num w:numId="53">
    <w:abstractNumId w:val="22"/>
  </w:num>
  <w:num w:numId="54">
    <w:abstractNumId w:val="26"/>
  </w:num>
  <w:num w:numId="55">
    <w:abstractNumId w:val="33"/>
  </w:num>
  <w:num w:numId="56">
    <w:abstractNumId w:val="44"/>
  </w:num>
  <w:num w:numId="57">
    <w:abstractNumId w:val="58"/>
  </w:num>
  <w:num w:numId="58">
    <w:abstractNumId w:val="13"/>
  </w:num>
  <w:num w:numId="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kxZjAxNTY3NTE3MmQ0NGRiNmNhZDJmMjIxNzdiZTYifQ=="/>
  </w:docVars>
  <w:rsids>
    <w:rsidRoot w:val="00D51569"/>
    <w:rsid w:val="000069EC"/>
    <w:rsid w:val="00007470"/>
    <w:rsid w:val="000112AC"/>
    <w:rsid w:val="0001195E"/>
    <w:rsid w:val="0001598A"/>
    <w:rsid w:val="000173D4"/>
    <w:rsid w:val="000213A0"/>
    <w:rsid w:val="000227BF"/>
    <w:rsid w:val="0002758D"/>
    <w:rsid w:val="00030B34"/>
    <w:rsid w:val="00031CF4"/>
    <w:rsid w:val="000418F9"/>
    <w:rsid w:val="00044305"/>
    <w:rsid w:val="00046E42"/>
    <w:rsid w:val="0005737B"/>
    <w:rsid w:val="0007027E"/>
    <w:rsid w:val="00070FC6"/>
    <w:rsid w:val="00072339"/>
    <w:rsid w:val="000757DB"/>
    <w:rsid w:val="000800D2"/>
    <w:rsid w:val="00080389"/>
    <w:rsid w:val="00083387"/>
    <w:rsid w:val="0008414A"/>
    <w:rsid w:val="00087510"/>
    <w:rsid w:val="0009089E"/>
    <w:rsid w:val="00091C9C"/>
    <w:rsid w:val="00095387"/>
    <w:rsid w:val="00095D9A"/>
    <w:rsid w:val="00096224"/>
    <w:rsid w:val="0009640F"/>
    <w:rsid w:val="000A02BB"/>
    <w:rsid w:val="000A73BC"/>
    <w:rsid w:val="000B3383"/>
    <w:rsid w:val="000B4057"/>
    <w:rsid w:val="000B4BAC"/>
    <w:rsid w:val="000B7263"/>
    <w:rsid w:val="000C0D70"/>
    <w:rsid w:val="000C2A7B"/>
    <w:rsid w:val="000C7F44"/>
    <w:rsid w:val="000D1CF1"/>
    <w:rsid w:val="000D30B8"/>
    <w:rsid w:val="000D6633"/>
    <w:rsid w:val="000D798A"/>
    <w:rsid w:val="000E2FFC"/>
    <w:rsid w:val="000E57E7"/>
    <w:rsid w:val="000F1E89"/>
    <w:rsid w:val="0010014D"/>
    <w:rsid w:val="001145D4"/>
    <w:rsid w:val="00117E4F"/>
    <w:rsid w:val="001223EF"/>
    <w:rsid w:val="001236A3"/>
    <w:rsid w:val="00134561"/>
    <w:rsid w:val="0013796A"/>
    <w:rsid w:val="001404DA"/>
    <w:rsid w:val="001408F1"/>
    <w:rsid w:val="001415B4"/>
    <w:rsid w:val="00152541"/>
    <w:rsid w:val="00154EA8"/>
    <w:rsid w:val="0016405F"/>
    <w:rsid w:val="00165E49"/>
    <w:rsid w:val="00165F8E"/>
    <w:rsid w:val="0016779A"/>
    <w:rsid w:val="00167F93"/>
    <w:rsid w:val="00170DCF"/>
    <w:rsid w:val="0017154C"/>
    <w:rsid w:val="001749D2"/>
    <w:rsid w:val="00174C63"/>
    <w:rsid w:val="0017584B"/>
    <w:rsid w:val="00177319"/>
    <w:rsid w:val="00177379"/>
    <w:rsid w:val="00181BE6"/>
    <w:rsid w:val="00183B7D"/>
    <w:rsid w:val="00186162"/>
    <w:rsid w:val="00191A00"/>
    <w:rsid w:val="00191DEB"/>
    <w:rsid w:val="0019215A"/>
    <w:rsid w:val="00193679"/>
    <w:rsid w:val="001946AC"/>
    <w:rsid w:val="001957E3"/>
    <w:rsid w:val="0019757C"/>
    <w:rsid w:val="001A0A0B"/>
    <w:rsid w:val="001A2E65"/>
    <w:rsid w:val="001B0DF5"/>
    <w:rsid w:val="001C0A13"/>
    <w:rsid w:val="001C26CD"/>
    <w:rsid w:val="001C2B6A"/>
    <w:rsid w:val="001C761E"/>
    <w:rsid w:val="001D06FF"/>
    <w:rsid w:val="001D1CBB"/>
    <w:rsid w:val="001D33AD"/>
    <w:rsid w:val="001D33DA"/>
    <w:rsid w:val="001D4C00"/>
    <w:rsid w:val="001E25D9"/>
    <w:rsid w:val="001E260C"/>
    <w:rsid w:val="001E592F"/>
    <w:rsid w:val="001F7199"/>
    <w:rsid w:val="002078AE"/>
    <w:rsid w:val="00210B90"/>
    <w:rsid w:val="00213F11"/>
    <w:rsid w:val="00214892"/>
    <w:rsid w:val="00224D01"/>
    <w:rsid w:val="002255A9"/>
    <w:rsid w:val="00230652"/>
    <w:rsid w:val="00231307"/>
    <w:rsid w:val="00232729"/>
    <w:rsid w:val="00233E9C"/>
    <w:rsid w:val="00234627"/>
    <w:rsid w:val="002426C4"/>
    <w:rsid w:val="002436B4"/>
    <w:rsid w:val="00246A17"/>
    <w:rsid w:val="00252623"/>
    <w:rsid w:val="00255732"/>
    <w:rsid w:val="002615C0"/>
    <w:rsid w:val="002659C7"/>
    <w:rsid w:val="002665CA"/>
    <w:rsid w:val="00266F45"/>
    <w:rsid w:val="0026727E"/>
    <w:rsid w:val="00267EE6"/>
    <w:rsid w:val="002709BD"/>
    <w:rsid w:val="002732E0"/>
    <w:rsid w:val="00284274"/>
    <w:rsid w:val="002847E1"/>
    <w:rsid w:val="002871DE"/>
    <w:rsid w:val="002872FE"/>
    <w:rsid w:val="0029125D"/>
    <w:rsid w:val="0029513F"/>
    <w:rsid w:val="0029733C"/>
    <w:rsid w:val="002A1745"/>
    <w:rsid w:val="002A2748"/>
    <w:rsid w:val="002A4D68"/>
    <w:rsid w:val="002A625E"/>
    <w:rsid w:val="002A62EC"/>
    <w:rsid w:val="002A66C8"/>
    <w:rsid w:val="002B1CC1"/>
    <w:rsid w:val="002B63D8"/>
    <w:rsid w:val="002C0F73"/>
    <w:rsid w:val="002C3B0D"/>
    <w:rsid w:val="002C6520"/>
    <w:rsid w:val="002D082A"/>
    <w:rsid w:val="002D1053"/>
    <w:rsid w:val="002D38B2"/>
    <w:rsid w:val="002E0D3B"/>
    <w:rsid w:val="002E18BD"/>
    <w:rsid w:val="002E3D0E"/>
    <w:rsid w:val="002E4683"/>
    <w:rsid w:val="002E6378"/>
    <w:rsid w:val="002F11CE"/>
    <w:rsid w:val="002F23BC"/>
    <w:rsid w:val="002F2D13"/>
    <w:rsid w:val="002F3BDA"/>
    <w:rsid w:val="002F4580"/>
    <w:rsid w:val="003011BE"/>
    <w:rsid w:val="00303F10"/>
    <w:rsid w:val="0030443F"/>
    <w:rsid w:val="00307D84"/>
    <w:rsid w:val="0031002E"/>
    <w:rsid w:val="003158D3"/>
    <w:rsid w:val="003169BF"/>
    <w:rsid w:val="003273DB"/>
    <w:rsid w:val="003274BA"/>
    <w:rsid w:val="0032784A"/>
    <w:rsid w:val="00330D3D"/>
    <w:rsid w:val="0033421C"/>
    <w:rsid w:val="003347F9"/>
    <w:rsid w:val="00336F5A"/>
    <w:rsid w:val="003518EF"/>
    <w:rsid w:val="0036208A"/>
    <w:rsid w:val="00362641"/>
    <w:rsid w:val="00365813"/>
    <w:rsid w:val="0037221E"/>
    <w:rsid w:val="003723BF"/>
    <w:rsid w:val="003812AE"/>
    <w:rsid w:val="00382E5B"/>
    <w:rsid w:val="00386F17"/>
    <w:rsid w:val="003929E8"/>
    <w:rsid w:val="00396626"/>
    <w:rsid w:val="003A05BE"/>
    <w:rsid w:val="003A1280"/>
    <w:rsid w:val="003B103B"/>
    <w:rsid w:val="003B1D5B"/>
    <w:rsid w:val="003B34F7"/>
    <w:rsid w:val="003C0C24"/>
    <w:rsid w:val="003C481F"/>
    <w:rsid w:val="003C6D19"/>
    <w:rsid w:val="003D2645"/>
    <w:rsid w:val="003D2DF6"/>
    <w:rsid w:val="003D4E8A"/>
    <w:rsid w:val="003E095B"/>
    <w:rsid w:val="003E5ADF"/>
    <w:rsid w:val="003E7C66"/>
    <w:rsid w:val="003E7F36"/>
    <w:rsid w:val="003F1562"/>
    <w:rsid w:val="0040335E"/>
    <w:rsid w:val="00410B19"/>
    <w:rsid w:val="00416591"/>
    <w:rsid w:val="00435E0B"/>
    <w:rsid w:val="00440D16"/>
    <w:rsid w:val="0044232F"/>
    <w:rsid w:val="00444482"/>
    <w:rsid w:val="004464C2"/>
    <w:rsid w:val="0044739E"/>
    <w:rsid w:val="00453E91"/>
    <w:rsid w:val="004574C5"/>
    <w:rsid w:val="00460A24"/>
    <w:rsid w:val="00463754"/>
    <w:rsid w:val="00464D64"/>
    <w:rsid w:val="0047231A"/>
    <w:rsid w:val="0047378F"/>
    <w:rsid w:val="004739A7"/>
    <w:rsid w:val="00480C9E"/>
    <w:rsid w:val="00482B1A"/>
    <w:rsid w:val="00485967"/>
    <w:rsid w:val="00496BD4"/>
    <w:rsid w:val="0049794D"/>
    <w:rsid w:val="004A698D"/>
    <w:rsid w:val="004A713D"/>
    <w:rsid w:val="004B09D3"/>
    <w:rsid w:val="004B4118"/>
    <w:rsid w:val="004B60C9"/>
    <w:rsid w:val="004B620B"/>
    <w:rsid w:val="004B6F24"/>
    <w:rsid w:val="004C1117"/>
    <w:rsid w:val="004C2A4D"/>
    <w:rsid w:val="004D0712"/>
    <w:rsid w:val="004D3082"/>
    <w:rsid w:val="004D7BED"/>
    <w:rsid w:val="004E0DFB"/>
    <w:rsid w:val="004E450C"/>
    <w:rsid w:val="004E547A"/>
    <w:rsid w:val="004E5E79"/>
    <w:rsid w:val="004F1683"/>
    <w:rsid w:val="004F7D8F"/>
    <w:rsid w:val="00501F13"/>
    <w:rsid w:val="00506193"/>
    <w:rsid w:val="00520164"/>
    <w:rsid w:val="005222C3"/>
    <w:rsid w:val="005229DC"/>
    <w:rsid w:val="005254AD"/>
    <w:rsid w:val="00527604"/>
    <w:rsid w:val="00532D1B"/>
    <w:rsid w:val="00535B8D"/>
    <w:rsid w:val="00536DD2"/>
    <w:rsid w:val="005411DE"/>
    <w:rsid w:val="00546251"/>
    <w:rsid w:val="0055332A"/>
    <w:rsid w:val="00555EDE"/>
    <w:rsid w:val="005711DE"/>
    <w:rsid w:val="00573241"/>
    <w:rsid w:val="00575C9D"/>
    <w:rsid w:val="005779B2"/>
    <w:rsid w:val="00581F58"/>
    <w:rsid w:val="00586CD2"/>
    <w:rsid w:val="005940FF"/>
    <w:rsid w:val="00596914"/>
    <w:rsid w:val="005A33DA"/>
    <w:rsid w:val="005A49BE"/>
    <w:rsid w:val="005A7E7E"/>
    <w:rsid w:val="005B1144"/>
    <w:rsid w:val="005B14F6"/>
    <w:rsid w:val="005B180E"/>
    <w:rsid w:val="005B31F1"/>
    <w:rsid w:val="005B4048"/>
    <w:rsid w:val="005C09F8"/>
    <w:rsid w:val="005D1597"/>
    <w:rsid w:val="005D4EBE"/>
    <w:rsid w:val="005D51C3"/>
    <w:rsid w:val="005D6674"/>
    <w:rsid w:val="005E0D54"/>
    <w:rsid w:val="00600324"/>
    <w:rsid w:val="00605FD5"/>
    <w:rsid w:val="00622142"/>
    <w:rsid w:val="00630932"/>
    <w:rsid w:val="00631795"/>
    <w:rsid w:val="00636AAD"/>
    <w:rsid w:val="00637A19"/>
    <w:rsid w:val="0064175E"/>
    <w:rsid w:val="00651710"/>
    <w:rsid w:val="00652F79"/>
    <w:rsid w:val="006533B0"/>
    <w:rsid w:val="00654154"/>
    <w:rsid w:val="006560E7"/>
    <w:rsid w:val="0065614C"/>
    <w:rsid w:val="006616D3"/>
    <w:rsid w:val="0066238D"/>
    <w:rsid w:val="0066706E"/>
    <w:rsid w:val="00667837"/>
    <w:rsid w:val="00667D06"/>
    <w:rsid w:val="0067327E"/>
    <w:rsid w:val="00675A3C"/>
    <w:rsid w:val="006778F4"/>
    <w:rsid w:val="00682DDC"/>
    <w:rsid w:val="0069574E"/>
    <w:rsid w:val="00695B12"/>
    <w:rsid w:val="006A1483"/>
    <w:rsid w:val="006A4956"/>
    <w:rsid w:val="006A5A52"/>
    <w:rsid w:val="006A6187"/>
    <w:rsid w:val="006A6E3E"/>
    <w:rsid w:val="006B25F5"/>
    <w:rsid w:val="006B34C4"/>
    <w:rsid w:val="006D0369"/>
    <w:rsid w:val="006D2D95"/>
    <w:rsid w:val="006D71B0"/>
    <w:rsid w:val="006D71DF"/>
    <w:rsid w:val="006E21C6"/>
    <w:rsid w:val="006E42E5"/>
    <w:rsid w:val="006F1019"/>
    <w:rsid w:val="006F15D2"/>
    <w:rsid w:val="006F5480"/>
    <w:rsid w:val="006F7C4F"/>
    <w:rsid w:val="007105AC"/>
    <w:rsid w:val="00714D78"/>
    <w:rsid w:val="00724498"/>
    <w:rsid w:val="007303E5"/>
    <w:rsid w:val="00740088"/>
    <w:rsid w:val="00746403"/>
    <w:rsid w:val="00752B33"/>
    <w:rsid w:val="00752DA3"/>
    <w:rsid w:val="00753B7D"/>
    <w:rsid w:val="00763CD2"/>
    <w:rsid w:val="0076522A"/>
    <w:rsid w:val="007707E3"/>
    <w:rsid w:val="00772353"/>
    <w:rsid w:val="0077399E"/>
    <w:rsid w:val="0078097A"/>
    <w:rsid w:val="00781E23"/>
    <w:rsid w:val="00783715"/>
    <w:rsid w:val="007873DE"/>
    <w:rsid w:val="0078798E"/>
    <w:rsid w:val="00791B7A"/>
    <w:rsid w:val="007A1051"/>
    <w:rsid w:val="007A2AB5"/>
    <w:rsid w:val="007C0625"/>
    <w:rsid w:val="007C5494"/>
    <w:rsid w:val="007C74CE"/>
    <w:rsid w:val="007D72D5"/>
    <w:rsid w:val="007E5B97"/>
    <w:rsid w:val="007E6BFA"/>
    <w:rsid w:val="007E6FAA"/>
    <w:rsid w:val="007F042C"/>
    <w:rsid w:val="007F216A"/>
    <w:rsid w:val="007F4688"/>
    <w:rsid w:val="0080123B"/>
    <w:rsid w:val="00813D6C"/>
    <w:rsid w:val="00814BC6"/>
    <w:rsid w:val="00815958"/>
    <w:rsid w:val="0081674C"/>
    <w:rsid w:val="008167A4"/>
    <w:rsid w:val="008169E7"/>
    <w:rsid w:val="0081722A"/>
    <w:rsid w:val="008229FD"/>
    <w:rsid w:val="008235E7"/>
    <w:rsid w:val="00824331"/>
    <w:rsid w:val="008305FE"/>
    <w:rsid w:val="008323F3"/>
    <w:rsid w:val="00833A9C"/>
    <w:rsid w:val="008358AC"/>
    <w:rsid w:val="00841FEE"/>
    <w:rsid w:val="00843944"/>
    <w:rsid w:val="00845294"/>
    <w:rsid w:val="00845E76"/>
    <w:rsid w:val="00846366"/>
    <w:rsid w:val="00847EB4"/>
    <w:rsid w:val="0085561E"/>
    <w:rsid w:val="0085589E"/>
    <w:rsid w:val="00863C67"/>
    <w:rsid w:val="00867743"/>
    <w:rsid w:val="00870292"/>
    <w:rsid w:val="0087084F"/>
    <w:rsid w:val="0087132C"/>
    <w:rsid w:val="008814AB"/>
    <w:rsid w:val="00883016"/>
    <w:rsid w:val="00887377"/>
    <w:rsid w:val="00890942"/>
    <w:rsid w:val="008953C5"/>
    <w:rsid w:val="008A6416"/>
    <w:rsid w:val="008B04E0"/>
    <w:rsid w:val="008B110D"/>
    <w:rsid w:val="008B1CA4"/>
    <w:rsid w:val="008B3378"/>
    <w:rsid w:val="008B618F"/>
    <w:rsid w:val="008C64CC"/>
    <w:rsid w:val="008C728F"/>
    <w:rsid w:val="008D05C1"/>
    <w:rsid w:val="008D2E1A"/>
    <w:rsid w:val="008E16F1"/>
    <w:rsid w:val="008E7FBF"/>
    <w:rsid w:val="008F1A8A"/>
    <w:rsid w:val="008F2C11"/>
    <w:rsid w:val="008F4729"/>
    <w:rsid w:val="008F52FA"/>
    <w:rsid w:val="008F67AC"/>
    <w:rsid w:val="008F7EDB"/>
    <w:rsid w:val="00900F1C"/>
    <w:rsid w:val="00905B70"/>
    <w:rsid w:val="00906CD8"/>
    <w:rsid w:val="00910752"/>
    <w:rsid w:val="00911D1C"/>
    <w:rsid w:val="00914187"/>
    <w:rsid w:val="00914A10"/>
    <w:rsid w:val="00923781"/>
    <w:rsid w:val="009302C2"/>
    <w:rsid w:val="0093043A"/>
    <w:rsid w:val="009316AE"/>
    <w:rsid w:val="0093555D"/>
    <w:rsid w:val="009378B5"/>
    <w:rsid w:val="009420C2"/>
    <w:rsid w:val="00946F0D"/>
    <w:rsid w:val="00951D5E"/>
    <w:rsid w:val="009564F5"/>
    <w:rsid w:val="00957CB9"/>
    <w:rsid w:val="0096341B"/>
    <w:rsid w:val="009642B3"/>
    <w:rsid w:val="00964DC0"/>
    <w:rsid w:val="00965EE4"/>
    <w:rsid w:val="009669A9"/>
    <w:rsid w:val="009703B2"/>
    <w:rsid w:val="00971959"/>
    <w:rsid w:val="00971CF1"/>
    <w:rsid w:val="00971DF8"/>
    <w:rsid w:val="009729E9"/>
    <w:rsid w:val="0097321A"/>
    <w:rsid w:val="0097471A"/>
    <w:rsid w:val="009748D7"/>
    <w:rsid w:val="009751A2"/>
    <w:rsid w:val="009757E6"/>
    <w:rsid w:val="00983B30"/>
    <w:rsid w:val="009853BF"/>
    <w:rsid w:val="0098663F"/>
    <w:rsid w:val="00992A2E"/>
    <w:rsid w:val="00992AB2"/>
    <w:rsid w:val="0099755A"/>
    <w:rsid w:val="009A0424"/>
    <w:rsid w:val="009A0D67"/>
    <w:rsid w:val="009A10C2"/>
    <w:rsid w:val="009A31BA"/>
    <w:rsid w:val="009A3E46"/>
    <w:rsid w:val="009A42AD"/>
    <w:rsid w:val="009B2566"/>
    <w:rsid w:val="009B77DF"/>
    <w:rsid w:val="009C12AB"/>
    <w:rsid w:val="009C20C0"/>
    <w:rsid w:val="009C29B9"/>
    <w:rsid w:val="009D0218"/>
    <w:rsid w:val="009D173B"/>
    <w:rsid w:val="009D63BC"/>
    <w:rsid w:val="009D6ABB"/>
    <w:rsid w:val="009E2A41"/>
    <w:rsid w:val="009E2A6C"/>
    <w:rsid w:val="009F3688"/>
    <w:rsid w:val="00A02881"/>
    <w:rsid w:val="00A04DD5"/>
    <w:rsid w:val="00A10F0B"/>
    <w:rsid w:val="00A1438F"/>
    <w:rsid w:val="00A153DA"/>
    <w:rsid w:val="00A2333F"/>
    <w:rsid w:val="00A23E59"/>
    <w:rsid w:val="00A256F1"/>
    <w:rsid w:val="00A306ED"/>
    <w:rsid w:val="00A31B5F"/>
    <w:rsid w:val="00A31F71"/>
    <w:rsid w:val="00A37751"/>
    <w:rsid w:val="00A46EDA"/>
    <w:rsid w:val="00A52E66"/>
    <w:rsid w:val="00A541CC"/>
    <w:rsid w:val="00A54462"/>
    <w:rsid w:val="00A60670"/>
    <w:rsid w:val="00A62928"/>
    <w:rsid w:val="00A641CD"/>
    <w:rsid w:val="00A706A0"/>
    <w:rsid w:val="00A74B92"/>
    <w:rsid w:val="00A74F81"/>
    <w:rsid w:val="00A84714"/>
    <w:rsid w:val="00A94D7E"/>
    <w:rsid w:val="00A95C8D"/>
    <w:rsid w:val="00A95EA0"/>
    <w:rsid w:val="00A96F5A"/>
    <w:rsid w:val="00AA0B3A"/>
    <w:rsid w:val="00AA23BA"/>
    <w:rsid w:val="00AA6F4A"/>
    <w:rsid w:val="00AB11F6"/>
    <w:rsid w:val="00AB37ED"/>
    <w:rsid w:val="00AC081D"/>
    <w:rsid w:val="00AC5A33"/>
    <w:rsid w:val="00AC766D"/>
    <w:rsid w:val="00AC7F46"/>
    <w:rsid w:val="00AD442D"/>
    <w:rsid w:val="00AD77A9"/>
    <w:rsid w:val="00AE0946"/>
    <w:rsid w:val="00AE3026"/>
    <w:rsid w:val="00AE3F48"/>
    <w:rsid w:val="00AF6E1F"/>
    <w:rsid w:val="00B007A9"/>
    <w:rsid w:val="00B010D9"/>
    <w:rsid w:val="00B03A96"/>
    <w:rsid w:val="00B03AE3"/>
    <w:rsid w:val="00B05B6E"/>
    <w:rsid w:val="00B060ED"/>
    <w:rsid w:val="00B1265B"/>
    <w:rsid w:val="00B12972"/>
    <w:rsid w:val="00B17A0C"/>
    <w:rsid w:val="00B22360"/>
    <w:rsid w:val="00B22DAC"/>
    <w:rsid w:val="00B26927"/>
    <w:rsid w:val="00B30929"/>
    <w:rsid w:val="00B3357A"/>
    <w:rsid w:val="00B33C7F"/>
    <w:rsid w:val="00B3585D"/>
    <w:rsid w:val="00B35F15"/>
    <w:rsid w:val="00B3774D"/>
    <w:rsid w:val="00B44C64"/>
    <w:rsid w:val="00B51CBD"/>
    <w:rsid w:val="00B52793"/>
    <w:rsid w:val="00B5412E"/>
    <w:rsid w:val="00B60777"/>
    <w:rsid w:val="00B6230B"/>
    <w:rsid w:val="00B62649"/>
    <w:rsid w:val="00B62715"/>
    <w:rsid w:val="00B72ABF"/>
    <w:rsid w:val="00B7472A"/>
    <w:rsid w:val="00B80BDE"/>
    <w:rsid w:val="00B81DDB"/>
    <w:rsid w:val="00B87403"/>
    <w:rsid w:val="00B879D6"/>
    <w:rsid w:val="00B94DFB"/>
    <w:rsid w:val="00BA6F2D"/>
    <w:rsid w:val="00BA703E"/>
    <w:rsid w:val="00BB0837"/>
    <w:rsid w:val="00BB0BAC"/>
    <w:rsid w:val="00BB1626"/>
    <w:rsid w:val="00BB1B20"/>
    <w:rsid w:val="00BB60EF"/>
    <w:rsid w:val="00BB6478"/>
    <w:rsid w:val="00BB6D0A"/>
    <w:rsid w:val="00BC3A66"/>
    <w:rsid w:val="00BC5E0B"/>
    <w:rsid w:val="00BC6C68"/>
    <w:rsid w:val="00BD35E0"/>
    <w:rsid w:val="00BD7A40"/>
    <w:rsid w:val="00BE0803"/>
    <w:rsid w:val="00BF6206"/>
    <w:rsid w:val="00BF6B3B"/>
    <w:rsid w:val="00C02173"/>
    <w:rsid w:val="00C13A29"/>
    <w:rsid w:val="00C14BFB"/>
    <w:rsid w:val="00C14D8D"/>
    <w:rsid w:val="00C201B3"/>
    <w:rsid w:val="00C21F92"/>
    <w:rsid w:val="00C24F01"/>
    <w:rsid w:val="00C25F2B"/>
    <w:rsid w:val="00C27457"/>
    <w:rsid w:val="00C32265"/>
    <w:rsid w:val="00C32CFE"/>
    <w:rsid w:val="00C32DA0"/>
    <w:rsid w:val="00C3589C"/>
    <w:rsid w:val="00C43592"/>
    <w:rsid w:val="00C44F98"/>
    <w:rsid w:val="00C46F35"/>
    <w:rsid w:val="00C513E0"/>
    <w:rsid w:val="00C51450"/>
    <w:rsid w:val="00C53C71"/>
    <w:rsid w:val="00C54034"/>
    <w:rsid w:val="00C54556"/>
    <w:rsid w:val="00C56D2B"/>
    <w:rsid w:val="00C57617"/>
    <w:rsid w:val="00C60B8E"/>
    <w:rsid w:val="00C67918"/>
    <w:rsid w:val="00C711DF"/>
    <w:rsid w:val="00C73C00"/>
    <w:rsid w:val="00C73DB4"/>
    <w:rsid w:val="00C75839"/>
    <w:rsid w:val="00C80C5C"/>
    <w:rsid w:val="00C83353"/>
    <w:rsid w:val="00C8359A"/>
    <w:rsid w:val="00C83849"/>
    <w:rsid w:val="00C84321"/>
    <w:rsid w:val="00C87D15"/>
    <w:rsid w:val="00C968BF"/>
    <w:rsid w:val="00CA3DC9"/>
    <w:rsid w:val="00CB62E0"/>
    <w:rsid w:val="00CC1F2F"/>
    <w:rsid w:val="00CD4B44"/>
    <w:rsid w:val="00CD7E1E"/>
    <w:rsid w:val="00CE67CF"/>
    <w:rsid w:val="00CF1B6F"/>
    <w:rsid w:val="00CF35E8"/>
    <w:rsid w:val="00D02114"/>
    <w:rsid w:val="00D03A94"/>
    <w:rsid w:val="00D154CC"/>
    <w:rsid w:val="00D16DEC"/>
    <w:rsid w:val="00D17F85"/>
    <w:rsid w:val="00D20641"/>
    <w:rsid w:val="00D23C5E"/>
    <w:rsid w:val="00D26DE5"/>
    <w:rsid w:val="00D30AC2"/>
    <w:rsid w:val="00D30CA6"/>
    <w:rsid w:val="00D31AF4"/>
    <w:rsid w:val="00D323BA"/>
    <w:rsid w:val="00D47B48"/>
    <w:rsid w:val="00D51569"/>
    <w:rsid w:val="00D51C46"/>
    <w:rsid w:val="00D528AD"/>
    <w:rsid w:val="00D62770"/>
    <w:rsid w:val="00D70A72"/>
    <w:rsid w:val="00D75B1F"/>
    <w:rsid w:val="00D75FD1"/>
    <w:rsid w:val="00D82300"/>
    <w:rsid w:val="00D82E65"/>
    <w:rsid w:val="00D955CB"/>
    <w:rsid w:val="00D96D56"/>
    <w:rsid w:val="00DA2DBB"/>
    <w:rsid w:val="00DB0E94"/>
    <w:rsid w:val="00DB39EF"/>
    <w:rsid w:val="00DB3D3C"/>
    <w:rsid w:val="00DB6873"/>
    <w:rsid w:val="00DC1A17"/>
    <w:rsid w:val="00DC2D6F"/>
    <w:rsid w:val="00DD3761"/>
    <w:rsid w:val="00DD3EB1"/>
    <w:rsid w:val="00DD5D54"/>
    <w:rsid w:val="00DD5E68"/>
    <w:rsid w:val="00DE518C"/>
    <w:rsid w:val="00DE5717"/>
    <w:rsid w:val="00DE7EB2"/>
    <w:rsid w:val="00DF4E6E"/>
    <w:rsid w:val="00E021E9"/>
    <w:rsid w:val="00E05728"/>
    <w:rsid w:val="00E07755"/>
    <w:rsid w:val="00E13097"/>
    <w:rsid w:val="00E20592"/>
    <w:rsid w:val="00E218F5"/>
    <w:rsid w:val="00E225D8"/>
    <w:rsid w:val="00E33652"/>
    <w:rsid w:val="00E410FF"/>
    <w:rsid w:val="00E440DF"/>
    <w:rsid w:val="00E52555"/>
    <w:rsid w:val="00E52CC2"/>
    <w:rsid w:val="00E5529D"/>
    <w:rsid w:val="00E557E2"/>
    <w:rsid w:val="00E61189"/>
    <w:rsid w:val="00E635CF"/>
    <w:rsid w:val="00E66D81"/>
    <w:rsid w:val="00E7064E"/>
    <w:rsid w:val="00E73C1D"/>
    <w:rsid w:val="00E77ABE"/>
    <w:rsid w:val="00E909DB"/>
    <w:rsid w:val="00E923D8"/>
    <w:rsid w:val="00E971A0"/>
    <w:rsid w:val="00EA0AC6"/>
    <w:rsid w:val="00EA2482"/>
    <w:rsid w:val="00EA2C50"/>
    <w:rsid w:val="00EB0ABF"/>
    <w:rsid w:val="00EB129D"/>
    <w:rsid w:val="00EB2861"/>
    <w:rsid w:val="00EB28B0"/>
    <w:rsid w:val="00EC375F"/>
    <w:rsid w:val="00EC484B"/>
    <w:rsid w:val="00EC4B87"/>
    <w:rsid w:val="00EC5194"/>
    <w:rsid w:val="00EC600B"/>
    <w:rsid w:val="00ED5C44"/>
    <w:rsid w:val="00ED72AF"/>
    <w:rsid w:val="00EE03C4"/>
    <w:rsid w:val="00EE07D8"/>
    <w:rsid w:val="00F02D15"/>
    <w:rsid w:val="00F03E1C"/>
    <w:rsid w:val="00F16292"/>
    <w:rsid w:val="00F25F89"/>
    <w:rsid w:val="00F2770F"/>
    <w:rsid w:val="00F363B0"/>
    <w:rsid w:val="00F37ED1"/>
    <w:rsid w:val="00F41946"/>
    <w:rsid w:val="00F42763"/>
    <w:rsid w:val="00F44C16"/>
    <w:rsid w:val="00F45E08"/>
    <w:rsid w:val="00F46292"/>
    <w:rsid w:val="00F509A1"/>
    <w:rsid w:val="00F55770"/>
    <w:rsid w:val="00F557D7"/>
    <w:rsid w:val="00F64A3F"/>
    <w:rsid w:val="00F67C47"/>
    <w:rsid w:val="00F70F0E"/>
    <w:rsid w:val="00F7661D"/>
    <w:rsid w:val="00F77BE2"/>
    <w:rsid w:val="00F80181"/>
    <w:rsid w:val="00F80C67"/>
    <w:rsid w:val="00F82BA2"/>
    <w:rsid w:val="00F90F17"/>
    <w:rsid w:val="00FA44E8"/>
    <w:rsid w:val="00FA6EDD"/>
    <w:rsid w:val="00FB2E22"/>
    <w:rsid w:val="00FB3D22"/>
    <w:rsid w:val="00FB5348"/>
    <w:rsid w:val="00FB5796"/>
    <w:rsid w:val="00FB6F1A"/>
    <w:rsid w:val="00FC04EC"/>
    <w:rsid w:val="00FC302B"/>
    <w:rsid w:val="00FC3802"/>
    <w:rsid w:val="00FC5DCD"/>
    <w:rsid w:val="00FE3824"/>
    <w:rsid w:val="00FE5AD6"/>
    <w:rsid w:val="00FF04A6"/>
    <w:rsid w:val="00FF71ED"/>
    <w:rsid w:val="013A1508"/>
    <w:rsid w:val="0CE52F3F"/>
    <w:rsid w:val="37312E6E"/>
    <w:rsid w:val="392D778D"/>
    <w:rsid w:val="41A146E5"/>
    <w:rsid w:val="423053ED"/>
    <w:rsid w:val="6E9C6F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1"/>
    <w:qFormat/>
    <w:uiPriority w:val="0"/>
    <w:rPr>
      <w:rFonts w:ascii="Times New Roman" w:hAnsi="Times New Roman" w:eastAsia="宋体" w:cs="Times New Roman"/>
      <w:color w:val="FF0000"/>
      <w:sz w:val="24"/>
      <w:szCs w:val="24"/>
    </w:rPr>
  </w:style>
  <w:style w:type="paragraph" w:styleId="9">
    <w:name w:val="Body Text"/>
    <w:basedOn w:val="1"/>
    <w:link w:val="32"/>
    <w:semiHidden/>
    <w:unhideWhenUsed/>
    <w:qFormat/>
    <w:uiPriority w:val="99"/>
    <w:pPr>
      <w:spacing w:after="120"/>
    </w:pPr>
  </w:style>
  <w:style w:type="paragraph" w:styleId="10">
    <w:name w:val="Body Text Indent"/>
    <w:basedOn w:val="1"/>
    <w:link w:val="34"/>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5"/>
    <w:qFormat/>
    <w:uiPriority w:val="0"/>
    <w:rPr>
      <w:rFonts w:eastAsia="宋体"/>
      <w:sz w:val="24"/>
    </w:rPr>
  </w:style>
  <w:style w:type="paragraph" w:styleId="14">
    <w:name w:val="Date"/>
    <w:basedOn w:val="1"/>
    <w:next w:val="1"/>
    <w:link w:val="36"/>
    <w:unhideWhenUsed/>
    <w:qFormat/>
    <w:uiPriority w:val="99"/>
    <w:pPr>
      <w:ind w:left="100" w:leftChars="2500"/>
    </w:pPr>
  </w:style>
  <w:style w:type="paragraph" w:styleId="15">
    <w:name w:val="Balloon Text"/>
    <w:basedOn w:val="1"/>
    <w:link w:val="38"/>
    <w:semiHidden/>
    <w:unhideWhenUsed/>
    <w:qFormat/>
    <w:uiPriority w:val="99"/>
    <w:rPr>
      <w:sz w:val="18"/>
      <w:szCs w:val="18"/>
    </w:rPr>
  </w:style>
  <w:style w:type="paragraph" w:styleId="16">
    <w:name w:val="footer"/>
    <w:basedOn w:val="1"/>
    <w:link w:val="39"/>
    <w:unhideWhenUsed/>
    <w:qFormat/>
    <w:uiPriority w:val="99"/>
    <w:pPr>
      <w:tabs>
        <w:tab w:val="center" w:pos="4153"/>
        <w:tab w:val="right" w:pos="8306"/>
      </w:tabs>
      <w:snapToGrid w:val="0"/>
      <w:jc w:val="left"/>
    </w:pPr>
    <w:rPr>
      <w:sz w:val="18"/>
      <w:szCs w:val="18"/>
    </w:rPr>
  </w:style>
  <w:style w:type="paragraph" w:styleId="17">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4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43"/>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Emphasis"/>
    <w:basedOn w:val="23"/>
    <w:qFormat/>
    <w:uiPriority w:val="20"/>
    <w:rPr>
      <w:i/>
      <w:iCs/>
    </w:rPr>
  </w:style>
  <w:style w:type="character" w:styleId="26">
    <w:name w:val="Hyperlink"/>
    <w:basedOn w:val="23"/>
    <w:unhideWhenUsed/>
    <w:qFormat/>
    <w:uiPriority w:val="99"/>
    <w:rPr>
      <w:color w:val="0000FF"/>
      <w:u w:val="single"/>
    </w:rPr>
  </w:style>
  <w:style w:type="character" w:customStyle="1" w:styleId="27">
    <w:name w:val="标题 1 Char"/>
    <w:basedOn w:val="23"/>
    <w:link w:val="2"/>
    <w:qFormat/>
    <w:uiPriority w:val="0"/>
    <w:rPr>
      <w:rFonts w:ascii="Calibri" w:hAnsi="Calibri" w:eastAsia="宋体" w:cs="Times New Roman"/>
      <w:b/>
      <w:bCs/>
      <w:kern w:val="44"/>
      <w:sz w:val="44"/>
      <w:szCs w:val="44"/>
    </w:rPr>
  </w:style>
  <w:style w:type="character" w:customStyle="1" w:styleId="28">
    <w:name w:val="标题 2 Char"/>
    <w:basedOn w:val="23"/>
    <w:link w:val="3"/>
    <w:qFormat/>
    <w:uiPriority w:val="0"/>
    <w:rPr>
      <w:rFonts w:ascii="Arial" w:hAnsi="Arial" w:eastAsia="黑体" w:cs="Times New Roman"/>
      <w:b/>
      <w:bCs/>
      <w:sz w:val="32"/>
      <w:szCs w:val="32"/>
    </w:rPr>
  </w:style>
  <w:style w:type="character" w:customStyle="1" w:styleId="29">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0">
    <w:name w:val="标题 4 Char"/>
    <w:basedOn w:val="23"/>
    <w:link w:val="5"/>
    <w:qFormat/>
    <w:uiPriority w:val="0"/>
    <w:rPr>
      <w:rFonts w:ascii="Arial" w:hAnsi="Arial" w:eastAsia="黑体" w:cs="Times New Roman"/>
      <w:b/>
      <w:bCs/>
      <w:sz w:val="28"/>
      <w:szCs w:val="28"/>
    </w:rPr>
  </w:style>
  <w:style w:type="character" w:customStyle="1" w:styleId="31">
    <w:name w:val="正文文本 3 Char"/>
    <w:basedOn w:val="23"/>
    <w:link w:val="8"/>
    <w:qFormat/>
    <w:uiPriority w:val="0"/>
    <w:rPr>
      <w:rFonts w:ascii="Times New Roman" w:hAnsi="Times New Roman" w:eastAsia="宋体" w:cs="Times New Roman"/>
      <w:color w:val="FF0000"/>
      <w:sz w:val="24"/>
      <w:szCs w:val="24"/>
    </w:rPr>
  </w:style>
  <w:style w:type="character" w:customStyle="1" w:styleId="32">
    <w:name w:val="正文文本 Char"/>
    <w:basedOn w:val="23"/>
    <w:link w:val="9"/>
    <w:semiHidden/>
    <w:qFormat/>
    <w:uiPriority w:val="99"/>
  </w:style>
  <w:style w:type="character" w:customStyle="1" w:styleId="33">
    <w:name w:val="正文文本缩进 Char"/>
    <w:basedOn w:val="23"/>
    <w:qFormat/>
    <w:uiPriority w:val="0"/>
  </w:style>
  <w:style w:type="character" w:customStyle="1" w:styleId="34">
    <w:name w:val="正文文本缩进 Char1"/>
    <w:basedOn w:val="23"/>
    <w:link w:val="10"/>
    <w:qFormat/>
    <w:uiPriority w:val="0"/>
    <w:rPr>
      <w:kern w:val="0"/>
      <w:sz w:val="24"/>
      <w:szCs w:val="20"/>
    </w:rPr>
  </w:style>
  <w:style w:type="character" w:customStyle="1" w:styleId="35">
    <w:name w:val="纯文本 Char"/>
    <w:basedOn w:val="23"/>
    <w:link w:val="13"/>
    <w:qFormat/>
    <w:uiPriority w:val="0"/>
    <w:rPr>
      <w:rFonts w:eastAsia="宋体"/>
      <w:sz w:val="24"/>
    </w:rPr>
  </w:style>
  <w:style w:type="character" w:customStyle="1" w:styleId="36">
    <w:name w:val="日期 Char"/>
    <w:basedOn w:val="23"/>
    <w:link w:val="14"/>
    <w:qFormat/>
    <w:uiPriority w:val="99"/>
  </w:style>
  <w:style w:type="character" w:customStyle="1" w:styleId="37">
    <w:name w:val="批注框文本 Char"/>
    <w:basedOn w:val="23"/>
    <w:semiHidden/>
    <w:qFormat/>
    <w:uiPriority w:val="99"/>
    <w:rPr>
      <w:sz w:val="18"/>
      <w:szCs w:val="18"/>
    </w:rPr>
  </w:style>
  <w:style w:type="character" w:customStyle="1" w:styleId="38">
    <w:name w:val="批注框文本 Char1"/>
    <w:basedOn w:val="23"/>
    <w:link w:val="15"/>
    <w:semiHidden/>
    <w:qFormat/>
    <w:uiPriority w:val="99"/>
    <w:rPr>
      <w:sz w:val="18"/>
      <w:szCs w:val="18"/>
    </w:rPr>
  </w:style>
  <w:style w:type="character" w:customStyle="1" w:styleId="39">
    <w:name w:val="页脚 Char"/>
    <w:basedOn w:val="23"/>
    <w:link w:val="16"/>
    <w:qFormat/>
    <w:uiPriority w:val="99"/>
    <w:rPr>
      <w:sz w:val="18"/>
      <w:szCs w:val="18"/>
    </w:rPr>
  </w:style>
  <w:style w:type="character" w:customStyle="1" w:styleId="40">
    <w:name w:val="页眉 Char"/>
    <w:basedOn w:val="23"/>
    <w:link w:val="17"/>
    <w:qFormat/>
    <w:uiPriority w:val="99"/>
    <w:rPr>
      <w:sz w:val="18"/>
      <w:szCs w:val="18"/>
    </w:rPr>
  </w:style>
  <w:style w:type="character" w:customStyle="1" w:styleId="41">
    <w:name w:val="HTML 预设格式 Char"/>
    <w:basedOn w:val="23"/>
    <w:semiHidden/>
    <w:qFormat/>
    <w:uiPriority w:val="99"/>
    <w:rPr>
      <w:rFonts w:ascii="宋体" w:hAnsi="宋体" w:eastAsia="宋体" w:cs="宋体"/>
      <w:kern w:val="0"/>
      <w:sz w:val="24"/>
      <w:szCs w:val="24"/>
    </w:rPr>
  </w:style>
  <w:style w:type="character" w:customStyle="1" w:styleId="42">
    <w:name w:val="HTML 预设格式 Char1"/>
    <w:basedOn w:val="23"/>
    <w:link w:val="19"/>
    <w:semiHidden/>
    <w:qFormat/>
    <w:uiPriority w:val="99"/>
    <w:rPr>
      <w:rFonts w:ascii="Courier New" w:hAnsi="Courier New" w:cs="Courier New"/>
      <w:sz w:val="20"/>
      <w:szCs w:val="20"/>
    </w:rPr>
  </w:style>
  <w:style w:type="character" w:customStyle="1" w:styleId="43">
    <w:name w:val="正文首行缩进 Char"/>
    <w:basedOn w:val="32"/>
    <w:link w:val="21"/>
    <w:qFormat/>
    <w:uiPriority w:val="0"/>
    <w:rPr>
      <w:rFonts w:ascii="宋体" w:hAnsi="Times New Roman" w:eastAsia="宋体" w:cs="Times New Roman"/>
      <w:kern w:val="0"/>
      <w:sz w:val="34"/>
      <w:szCs w:val="20"/>
    </w:rPr>
  </w:style>
  <w:style w:type="character" w:customStyle="1" w:styleId="44">
    <w:name w:val="纯文本 Char1"/>
    <w:qFormat/>
    <w:uiPriority w:val="0"/>
    <w:rPr>
      <w:rFonts w:eastAsia="宋体"/>
      <w:sz w:val="24"/>
    </w:rPr>
  </w:style>
  <w:style w:type="paragraph" w:customStyle="1" w:styleId="4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6">
    <w:name w:val="列出段落1"/>
    <w:basedOn w:val="1"/>
    <w:qFormat/>
    <w:uiPriority w:val="34"/>
    <w:pPr>
      <w:ind w:firstLine="420" w:firstLineChars="200"/>
    </w:pPr>
  </w:style>
  <w:style w:type="paragraph" w:styleId="47">
    <w:name w:val="List Paragraph"/>
    <w:basedOn w:val="1"/>
    <w:unhideWhenUsed/>
    <w:qFormat/>
    <w:uiPriority w:val="99"/>
    <w:pPr>
      <w:ind w:firstLine="420" w:firstLineChars="200"/>
    </w:pPr>
  </w:style>
  <w:style w:type="character" w:customStyle="1" w:styleId="48">
    <w:name w:val="正文文本缩进 Char Char"/>
    <w:link w:val="49"/>
    <w:qFormat/>
    <w:uiPriority w:val="0"/>
    <w:rPr>
      <w:rFonts w:ascii="宋体"/>
      <w:sz w:val="24"/>
    </w:rPr>
  </w:style>
  <w:style w:type="paragraph" w:customStyle="1" w:styleId="49">
    <w:name w:val="正文文本缩进1"/>
    <w:basedOn w:val="1"/>
    <w:link w:val="48"/>
    <w:qFormat/>
    <w:uiPriority w:val="0"/>
    <w:pPr>
      <w:spacing w:line="360" w:lineRule="auto"/>
      <w:ind w:firstLine="480" w:firstLineChars="200"/>
    </w:pPr>
    <w:rPr>
      <w:rFonts w:ascii="宋体"/>
      <w:sz w:val="24"/>
    </w:rPr>
  </w:style>
  <w:style w:type="character" w:customStyle="1" w:styleId="50">
    <w:name w:val="日期 Char Char"/>
    <w:link w:val="51"/>
    <w:qFormat/>
    <w:uiPriority w:val="0"/>
    <w:rPr>
      <w:sz w:val="24"/>
    </w:rPr>
  </w:style>
  <w:style w:type="paragraph" w:customStyle="1" w:styleId="51">
    <w:name w:val="日期1"/>
    <w:basedOn w:val="1"/>
    <w:next w:val="1"/>
    <w:link w:val="50"/>
    <w:qFormat/>
    <w:uiPriority w:val="0"/>
    <w:rPr>
      <w:sz w:val="24"/>
    </w:rPr>
  </w:style>
  <w:style w:type="paragraph" w:customStyle="1" w:styleId="5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5">
    <w:name w:val="edittexttarea"/>
    <w:basedOn w:val="23"/>
    <w:qFormat/>
    <w:uiPriority w:val="0"/>
  </w:style>
  <w:style w:type="paragraph" w:customStyle="1" w:styleId="56">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7">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paragraph" w:customStyle="1" w:styleId="58">
    <w:name w:val="正文缩进2"/>
    <w:basedOn w:val="1"/>
    <w:uiPriority w:val="0"/>
    <w:pPr>
      <w:spacing w:beforeLines="50" w:afterLines="50" w:line="360" w:lineRule="auto"/>
      <w:ind w:firstLine="480" w:firstLineChars="200"/>
    </w:pPr>
    <w:rPr>
      <w:rFonts w:ascii="Times New Roman" w:hAnsi="Times New Roman" w:eastAsia="宋体" w:cs="Times New Roman"/>
      <w:sz w:val="24"/>
      <w:szCs w:val="24"/>
    </w:rPr>
  </w:style>
  <w:style w:type="paragraph" w:customStyle="1" w:styleId="59">
    <w:name w:val="项目排列"/>
    <w:basedOn w:val="1"/>
    <w:link w:val="61"/>
    <w:qFormat/>
    <w:uiPriority w:val="0"/>
    <w:pPr>
      <w:numPr>
        <w:ilvl w:val="0"/>
        <w:numId w:val="4"/>
      </w:numPr>
      <w:spacing w:beforeLines="50" w:afterLines="50" w:line="360" w:lineRule="auto"/>
    </w:pPr>
    <w:rPr>
      <w:rFonts w:ascii="Times New Roman" w:hAnsi="Times New Roman" w:eastAsia="宋体" w:cs="Times New Roman"/>
      <w:sz w:val="24"/>
      <w:szCs w:val="24"/>
    </w:rPr>
  </w:style>
  <w:style w:type="paragraph" w:customStyle="1" w:styleId="60">
    <w:name w:val="正文（首行缩进）"/>
    <w:basedOn w:val="1"/>
    <w:link w:val="62"/>
    <w:qFormat/>
    <w:uiPriority w:val="0"/>
    <w:pPr>
      <w:spacing w:beforeLines="50" w:afterLines="50" w:line="360" w:lineRule="auto"/>
      <w:ind w:firstLine="480" w:firstLineChars="200"/>
    </w:pPr>
    <w:rPr>
      <w:rFonts w:ascii="Times New Roman" w:hAnsi="Times New Roman" w:eastAsia="宋体" w:cs="Times New Roman"/>
      <w:sz w:val="24"/>
      <w:szCs w:val="24"/>
    </w:rPr>
  </w:style>
  <w:style w:type="character" w:customStyle="1" w:styleId="61">
    <w:name w:val="项目排列 Char Char"/>
    <w:link w:val="59"/>
    <w:uiPriority w:val="0"/>
    <w:rPr>
      <w:rFonts w:ascii="Times New Roman" w:hAnsi="Times New Roman" w:eastAsia="宋体" w:cs="Times New Roman"/>
      <w:kern w:val="2"/>
      <w:sz w:val="24"/>
      <w:szCs w:val="24"/>
    </w:rPr>
  </w:style>
  <w:style w:type="character" w:customStyle="1" w:styleId="62">
    <w:name w:val="正文（首行缩进） Char Char"/>
    <w:link w:val="60"/>
    <w:uiPriority w:val="0"/>
    <w:rPr>
      <w:rFonts w:ascii="Times New Roman" w:hAnsi="Times New Roman" w:eastAsia="宋体" w:cs="Times New Roman"/>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A7F9F-4D61-4FD3-B317-145518A6D54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63</Pages>
  <Words>24736</Words>
  <Characters>25625</Characters>
  <Lines>198</Lines>
  <Paragraphs>56</Paragraphs>
  <TotalTime>678</TotalTime>
  <ScaleCrop>false</ScaleCrop>
  <LinksUpToDate>false</LinksUpToDate>
  <CharactersWithSpaces>26142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2020-03-11T09:07:00Z</dcterms:created>
  <dc:creator>许昌市公共资源交易中心:孟莉</dc:creator>
  <cp:lastModifiedBy>左轮</cp:lastModifiedBy>
  <cp:lastPrinted>2021-05-12T07:15:00Z</cp:lastPrinted>
  <dcterms:modified xsi:type="dcterms:W3CDTF">2022-07-11T00:24:15Z</dcterms:modified>
  <cp:revision>685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A43BF79282524320893875A2793DD926</vt:lpwstr>
  </property>
</Properties>
</file>