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简体" w:hAnsi="Calibri" w:eastAsia="方正小标宋简体" w:cs="宋体"/>
          <w:sz w:val="44"/>
          <w:szCs w:val="44"/>
        </w:rPr>
      </w:pPr>
      <w:r>
        <w:rPr>
          <w:rFonts w:hint="eastAsia" w:ascii="方正小标宋简体" w:hAnsi="Calibri" w:eastAsia="方正小标宋简体" w:cs="宋体"/>
          <w:sz w:val="44"/>
          <w:szCs w:val="44"/>
        </w:rPr>
        <w:t>许昌市公安局“</w:t>
      </w:r>
      <w:r>
        <w:rPr>
          <w:rFonts w:hint="eastAsia" w:ascii="方正小标宋简体" w:hAnsi="Calibri" w:eastAsia="方正小标宋简体" w:cs="宋体"/>
          <w:sz w:val="44"/>
          <w:szCs w:val="44"/>
          <w:lang w:val="en-US" w:eastAsia="zh-CN"/>
        </w:rPr>
        <w:t>许昌市公安局看护支队辅警制式服装</w:t>
      </w:r>
      <w:r>
        <w:rPr>
          <w:rFonts w:hint="eastAsia" w:ascii="方正小标宋简体" w:hAnsi="Calibri" w:eastAsia="方正小标宋简体" w:cs="宋体"/>
          <w:sz w:val="44"/>
          <w:szCs w:val="44"/>
        </w:rPr>
        <w:t>”采购项目询价报告</w:t>
      </w:r>
      <w:r>
        <w:rPr>
          <w:rFonts w:hint="eastAsia" w:ascii="方正小标宋简体" w:hAnsi="Calibri" w:eastAsia="方正小标宋简体" w:cs="宋体"/>
          <w:sz w:val="44"/>
          <w:szCs w:val="44"/>
          <w:lang w:val="en-US" w:eastAsia="zh-CN"/>
        </w:rPr>
        <w:t xml:space="preserve"> 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一、项目基本情况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（一）项目名称：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许昌市公安局看护支队辅警制式服装采购项目。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（二）项目编号：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XCGAJB-2026002。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（三）采购单位：</w:t>
      </w:r>
      <w:r>
        <w:rPr>
          <w:rFonts w:hint="eastAsia" w:ascii="仿宋_GB2312" w:hAnsi="Calibri" w:eastAsia="仿宋_GB2312" w:cs="宋体"/>
          <w:sz w:val="32"/>
          <w:szCs w:val="32"/>
          <w:lang w:eastAsia="zh-CN"/>
        </w:rPr>
        <w:t>许昌市公安局。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（四）采购方式：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（五）开标日期：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  <w:t>2026年6月12日上午9点00分。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sz w:val="32"/>
          <w:szCs w:val="32"/>
        </w:rPr>
        <w:t>（六）最高限价：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385528元。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（七）评标办法：最低</w:t>
      </w:r>
      <w:r>
        <w:rPr>
          <w:rFonts w:hint="eastAsia" w:ascii="仿宋_GB2312" w:hAnsi="Calibri" w:eastAsia="仿宋_GB2312" w:cs="宋体"/>
          <w:sz w:val="32"/>
          <w:szCs w:val="32"/>
          <w:lang w:eastAsia="zh-CN"/>
        </w:rPr>
        <w:t>价</w:t>
      </w:r>
      <w:r>
        <w:rPr>
          <w:rFonts w:hint="eastAsia" w:ascii="仿宋_GB2312" w:hAnsi="Calibri" w:eastAsia="仿宋_GB2312" w:cs="宋体"/>
          <w:sz w:val="32"/>
          <w:szCs w:val="32"/>
        </w:rPr>
        <w:t>评标法。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二、资格审查情况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通过资格审查的投标人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eastAsia="zh-CN"/>
        </w:rPr>
        <w:t>上海衡韵实业发展有限公司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eastAsia="zh-CN"/>
        </w:rPr>
        <w:t>湖北云龙服饰有限公司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/>
        <w:rPr>
          <w:rFonts w:hint="eastAsia" w:ascii="仿宋_GB2312" w:hAnsi="Calibri" w:eastAsia="仿宋_GB2312" w:cs="宋体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u w:val="none"/>
          <w:lang w:eastAsia="zh-CN"/>
        </w:rPr>
        <w:t>安徽蓝剑警用装备制造有限公司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三、评审情况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>（一）符合性审查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sz w:val="32"/>
          <w:szCs w:val="32"/>
        </w:rPr>
        <w:t>通过资格审查的投标人均通过</w:t>
      </w:r>
      <w:r>
        <w:rPr>
          <w:rFonts w:hint="eastAsia" w:ascii="仿宋_GB2312" w:hAnsi="Calibri" w:eastAsia="仿宋_GB2312" w:cs="宋体"/>
          <w:sz w:val="32"/>
          <w:szCs w:val="32"/>
          <w:lang w:eastAsia="zh-CN"/>
        </w:rPr>
        <w:t>资格性审查和</w:t>
      </w:r>
      <w:r>
        <w:rPr>
          <w:rFonts w:hint="eastAsia" w:ascii="仿宋_GB2312" w:hAnsi="Calibri" w:eastAsia="仿宋_GB2312" w:cs="宋体"/>
          <w:sz w:val="32"/>
          <w:szCs w:val="32"/>
        </w:rPr>
        <w:t>符合性审查。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 xml:space="preserve">  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sz w:val="32"/>
          <w:szCs w:val="32"/>
        </w:rPr>
        <w:t>比较与评标结果</w:t>
      </w:r>
    </w:p>
    <w:tbl>
      <w:tblPr>
        <w:tblStyle w:val="6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241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928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ind w:firstLine="640" w:firstLineChars="200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投标供应商名称</w:t>
            </w:r>
          </w:p>
        </w:tc>
        <w:tc>
          <w:tcPr>
            <w:tcW w:w="2410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最终报价（元）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928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both"/>
              <w:rPr>
                <w:rFonts w:ascii="仿宋_GB2312" w:hAnsi="Calibri" w:eastAsia="仿宋_GB2312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u w:val="none"/>
                <w:lang w:eastAsia="zh-CN"/>
              </w:rPr>
              <w:t>上海衡韵实业发展有限公司</w:t>
            </w:r>
          </w:p>
        </w:tc>
        <w:tc>
          <w:tcPr>
            <w:tcW w:w="2410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304096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928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u w:val="none"/>
                <w:lang w:eastAsia="zh-CN"/>
              </w:rPr>
              <w:t>湖北云龙服饰有限公司</w:t>
            </w:r>
          </w:p>
        </w:tc>
        <w:tc>
          <w:tcPr>
            <w:tcW w:w="2410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313560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928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32"/>
                <w:szCs w:val="32"/>
                <w:u w:val="none"/>
                <w:lang w:eastAsia="zh-CN"/>
              </w:rPr>
              <w:t>安徽蓝剑警用装备制造有限公司</w:t>
            </w:r>
          </w:p>
        </w:tc>
        <w:tc>
          <w:tcPr>
            <w:tcW w:w="2410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330657.6</w:t>
            </w:r>
          </w:p>
        </w:tc>
        <w:tc>
          <w:tcPr>
            <w:tcW w:w="1276" w:type="dxa"/>
            <w:textDirection w:val="lrTb"/>
            <w:vAlign w:val="center"/>
          </w:tcPr>
          <w:p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</w:tbl>
    <w:p>
      <w:pPr>
        <w:widowControl w:val="0"/>
        <w:autoSpaceDE w:val="0"/>
        <w:autoSpaceDN w:val="0"/>
        <w:snapToGrid/>
        <w:spacing w:after="0"/>
        <w:rPr>
          <w:rFonts w:hint="eastAsia" w:ascii="黑体" w:hAnsi="黑体" w:eastAsia="黑体" w:cs="宋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color w:val="000000" w:themeColor="text1"/>
          <w:sz w:val="32"/>
          <w:szCs w:val="32"/>
        </w:rPr>
        <w:t>四、询价小组推荐成交候选人情况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经询价专家小组成员商讨后一致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  <w:t>均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eastAsia="zh-CN"/>
        </w:rPr>
        <w:t>上海衡韵实业发展有限公司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为此次采购项目的成交人，公司详情如下：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color w:val="auto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i w:val="0"/>
          <w:color w:val="auto"/>
          <w:sz w:val="32"/>
          <w:szCs w:val="32"/>
          <w:u w:val="none"/>
          <w:lang w:eastAsia="zh-CN"/>
        </w:rPr>
        <w:t>上海衡韵实业发展有限公司</w:t>
      </w:r>
    </w:p>
    <w:p>
      <w:pPr>
        <w:widowControl w:val="0"/>
        <w:autoSpaceDE w:val="0"/>
        <w:autoSpaceDN w:val="0"/>
        <w:snapToGrid/>
        <w:spacing w:after="0"/>
        <w:rPr>
          <w:rFonts w:hint="eastAsia" w:ascii="仿宋_GB2312" w:hAnsi="Calibri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Calibri" w:eastAsia="仿宋_GB2312" w:cs="宋体"/>
          <w:color w:val="auto"/>
          <w:sz w:val="32"/>
          <w:szCs w:val="32"/>
        </w:rPr>
        <w:t>地址：</w:t>
      </w:r>
      <w:r>
        <w:rPr>
          <w:rFonts w:hint="eastAsia" w:ascii="仿宋_GB2312" w:hAnsi="Calibri" w:eastAsia="仿宋_GB2312" w:cs="宋体"/>
          <w:color w:val="auto"/>
          <w:sz w:val="32"/>
          <w:szCs w:val="32"/>
          <w:lang w:val="en-US" w:eastAsia="zh-CN"/>
        </w:rPr>
        <w:t>上海市松江区石湖荡镇长塔路418号10幢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auto"/>
          <w:sz w:val="32"/>
          <w:szCs w:val="32"/>
        </w:rPr>
      </w:pPr>
      <w:r>
        <w:rPr>
          <w:rFonts w:hint="eastAsia" w:ascii="仿宋_GB2312" w:hAnsi="Calibri" w:eastAsia="仿宋_GB2312" w:cs="宋体"/>
          <w:color w:val="auto"/>
          <w:sz w:val="32"/>
          <w:szCs w:val="32"/>
        </w:rPr>
        <w:t>联系人：</w:t>
      </w:r>
      <w:r>
        <w:rPr>
          <w:rFonts w:hint="eastAsia" w:ascii="仿宋_GB2312" w:hAnsi="Calibri" w:eastAsia="仿宋_GB2312" w:cs="宋体"/>
          <w:color w:val="auto"/>
          <w:sz w:val="32"/>
          <w:szCs w:val="32"/>
          <w:lang w:val="en-US" w:eastAsia="zh-CN"/>
        </w:rPr>
        <w:t>夏秀琴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color w:val="auto"/>
          <w:sz w:val="32"/>
          <w:szCs w:val="32"/>
        </w:rPr>
        <w:t>成交金额：</w:t>
      </w:r>
      <w:r>
        <w:rPr>
          <w:rFonts w:hint="eastAsia" w:ascii="仿宋_GB2312" w:hAnsi="Calibri" w:eastAsia="仿宋_GB2312" w:cs="宋体"/>
          <w:color w:val="auto"/>
          <w:sz w:val="32"/>
          <w:szCs w:val="32"/>
          <w:lang w:val="en-US" w:eastAsia="zh-CN"/>
        </w:rPr>
        <w:t>304096元。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</w:rPr>
        <w:t>五、询价小组成员名单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auto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询价小组成员签字：</w:t>
      </w:r>
      <w:r>
        <w:rPr>
          <w:rFonts w:hint="eastAsia" w:ascii="仿宋_GB2312" w:hAnsi="Calibri" w:eastAsia="仿宋_GB2312" w:cs="宋体"/>
          <w:color w:val="auto"/>
          <w:sz w:val="32"/>
          <w:szCs w:val="32"/>
          <w:lang w:eastAsia="zh-CN"/>
        </w:rPr>
        <w:t>户庆选</w:t>
      </w:r>
      <w:r>
        <w:rPr>
          <w:rFonts w:hint="eastAsia" w:ascii="仿宋_GB2312" w:hAnsi="Calibri" w:eastAsia="仿宋_GB2312" w:cs="宋体"/>
          <w:color w:val="auto"/>
          <w:sz w:val="32"/>
          <w:szCs w:val="32"/>
          <w:lang w:val="en-US" w:eastAsia="zh-CN"/>
        </w:rPr>
        <w:t xml:space="preserve">   李志远   甄忠杰</w:t>
      </w:r>
    </w:p>
    <w:p>
      <w:pPr>
        <w:widowControl w:val="0"/>
        <w:autoSpaceDE w:val="0"/>
        <w:autoSpaceDN w:val="0"/>
        <w:snapToGrid/>
        <w:spacing w:after="0"/>
        <w:ind w:firstLine="640" w:firstLineChars="200"/>
        <w:rPr>
          <w:rFonts w:hint="eastAsia" w:ascii="仿宋_GB2312" w:hAnsi="Calibri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Calibri" w:eastAsia="仿宋_GB2312" w:cs="宋体"/>
          <w:color w:val="auto"/>
          <w:sz w:val="32"/>
          <w:szCs w:val="32"/>
          <w:lang w:eastAsia="zh-CN"/>
        </w:rPr>
        <w:t>监督人员签字：赵磊</w:t>
      </w:r>
      <w:r>
        <w:rPr>
          <w:rFonts w:hint="eastAsia" w:ascii="仿宋_GB2312" w:hAnsi="Calibri" w:eastAsia="仿宋_GB2312" w:cs="宋体"/>
          <w:color w:val="auto"/>
          <w:sz w:val="32"/>
          <w:szCs w:val="32"/>
          <w:lang w:val="en-US" w:eastAsia="zh-CN"/>
        </w:rPr>
        <w:t xml:space="preserve">  商</w:t>
      </w:r>
      <w:bookmarkStart w:id="0" w:name="_GoBack"/>
      <w:bookmarkEnd w:id="0"/>
      <w:r>
        <w:rPr>
          <w:rFonts w:hint="eastAsia" w:ascii="仿宋_GB2312" w:hAnsi="Calibri" w:eastAsia="仿宋_GB2312" w:cs="宋体"/>
          <w:color w:val="auto"/>
          <w:sz w:val="32"/>
          <w:szCs w:val="32"/>
          <w:lang w:val="en-US" w:eastAsia="zh-CN"/>
        </w:rPr>
        <w:t>宁</w:t>
      </w:r>
    </w:p>
    <w:p>
      <w:pPr>
        <w:widowControl w:val="0"/>
        <w:autoSpaceDE w:val="0"/>
        <w:autoSpaceDN w:val="0"/>
        <w:snapToGrid/>
        <w:spacing w:after="0"/>
        <w:rPr>
          <w:rFonts w:hint="eastAsia" w:ascii="仿宋_GB2312" w:hAnsi="Calibri" w:eastAsia="仿宋_GB2312" w:cs="宋体"/>
          <w:color w:val="000000" w:themeColor="text1"/>
          <w:sz w:val="32"/>
          <w:szCs w:val="32"/>
          <w:lang w:eastAsia="zh-CN"/>
        </w:rPr>
      </w:pPr>
    </w:p>
    <w:p>
      <w:pPr>
        <w:widowControl w:val="0"/>
        <w:wordWrap w:val="0"/>
        <w:autoSpaceDE w:val="0"/>
        <w:autoSpaceDN w:val="0"/>
        <w:snapToGrid/>
        <w:spacing w:after="0"/>
        <w:ind w:firstLine="640" w:firstLineChars="200"/>
        <w:jc w:val="center"/>
        <w:rPr>
          <w:rFonts w:ascii="仿宋_GB2312" w:hAnsi="Calibri" w:eastAsia="仿宋_GB2312" w:cs="宋体"/>
          <w:color w:val="000000" w:themeColor="text1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年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>月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  <w:lang w:val="en-US" w:eastAsia="zh-CN"/>
        </w:rPr>
        <w:t>12</w:t>
      </w:r>
      <w:r>
        <w:rPr>
          <w:rFonts w:hint="eastAsia" w:ascii="仿宋_GB2312" w:hAnsi="Calibri" w:eastAsia="仿宋_GB2312" w:cs="宋体"/>
          <w:color w:val="000000" w:themeColor="text1"/>
          <w:sz w:val="32"/>
          <w:szCs w:val="32"/>
        </w:rPr>
        <w:t xml:space="preserve">日    </w:t>
      </w:r>
    </w:p>
    <w:sectPr>
      <w:footerReference r:id="rId3" w:type="default"/>
      <w:pgSz w:w="11906" w:h="16838"/>
      <w:pgMar w:top="2098" w:right="1474" w:bottom="1984" w:left="1587" w:header="709" w:footer="709" w:gutter="0"/>
      <w:cols w:space="0" w:num="1"/>
      <w:rtlGutter w:val="0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隶书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长美黑繁">
    <w:altName w:val="黑体"/>
    <w:panose1 w:val="02010609000101010101"/>
    <w:charset w:val="86"/>
    <w:family w:val="auto"/>
    <w:pitch w:val="default"/>
    <w:sig w:usb0="00000000" w:usb1="00000000" w:usb2="0100040E" w:usb3="00000000" w:csb0="00040000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Segoe UI Emoji">
    <w:altName w:val="Segoe U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ascii="仿宋_GB2312" w:eastAsia="仿宋_GB2312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</w:rPr>
      <w:t>—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830EF"/>
    <w:multiLevelType w:val="singleLevel"/>
    <w:tmpl w:val="69E830EF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CB6331"/>
    <w:rsid w:val="085E516F"/>
    <w:rsid w:val="0DA00696"/>
    <w:rsid w:val="29854E29"/>
    <w:rsid w:val="2FFB7335"/>
    <w:rsid w:val="408B3428"/>
    <w:rsid w:val="492261E8"/>
    <w:rsid w:val="49226839"/>
    <w:rsid w:val="4C1D5520"/>
    <w:rsid w:val="51E324FB"/>
    <w:rsid w:val="5F415906"/>
    <w:rsid w:val="617C0059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 Char"/>
    <w:basedOn w:val="5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日期 Char Char"/>
    <w:basedOn w:val="5"/>
    <w:link w:val="2"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365</Characters>
  <Lines>3</Lines>
  <Paragraphs>1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2026-04-22T02:38:00Z</cp:lastPrinted>
  <dcterms:modified xsi:type="dcterms:W3CDTF">2026-06-12T01:41:56Z</dcterms:modified>
  <dc:title>许昌市公安局“应急通信装备”采购项目询价报告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