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简体" w:hAnsi="Calibri" w:eastAsia="方正小标宋简体" w:cs="宋体"/>
          <w:color w:val="000000" w:themeColor="text1"/>
          <w:sz w:val="44"/>
          <w:szCs w:val="44"/>
        </w:rPr>
      </w:pPr>
      <w:r>
        <w:rPr>
          <w:rFonts w:hint="eastAsia" w:ascii="方正小标宋简体" w:hAnsi="Calibri" w:eastAsia="方正小标宋简体" w:cs="宋体"/>
          <w:color w:val="000000" w:themeColor="text1"/>
          <w:sz w:val="44"/>
          <w:szCs w:val="44"/>
        </w:rPr>
        <w:t>许昌市公安局“</w:t>
      </w:r>
      <w:r>
        <w:rPr>
          <w:rFonts w:hint="eastAsia" w:ascii="方正小标宋简体" w:hAnsi="Calibri" w:eastAsia="方正小标宋简体" w:cs="宋体"/>
          <w:color w:val="000000" w:themeColor="text1"/>
          <w:sz w:val="44"/>
          <w:szCs w:val="44"/>
          <w:lang w:val="en-US" w:eastAsia="zh-CN"/>
        </w:rPr>
        <w:t>2026年度制式服装清洗服务</w:t>
      </w:r>
      <w:r>
        <w:rPr>
          <w:rFonts w:hint="eastAsia" w:ascii="方正小标宋简体" w:hAnsi="Calibri" w:eastAsia="方正小标宋简体" w:cs="宋体"/>
          <w:color w:val="000000" w:themeColor="text1"/>
          <w:sz w:val="44"/>
          <w:szCs w:val="44"/>
        </w:rPr>
        <w:t>”采购项目</w:t>
      </w:r>
      <w:r>
        <w:rPr>
          <w:rFonts w:hint="eastAsia" w:ascii="方正小标宋简体" w:hAnsi="Calibri" w:eastAsia="方正小标宋简体" w:cs="宋体"/>
          <w:color w:val="000000" w:themeColor="text1"/>
          <w:sz w:val="44"/>
          <w:szCs w:val="44"/>
          <w:lang w:eastAsia="zh-CN"/>
        </w:rPr>
        <w:t>结果公告</w:t>
      </w:r>
      <w:r>
        <w:rPr>
          <w:rFonts w:hint="eastAsia" w:ascii="方正小标宋简体" w:hAnsi="Calibri" w:eastAsia="方正小标宋简体" w:cs="宋体"/>
          <w:color w:val="000000" w:themeColor="text1"/>
          <w:sz w:val="44"/>
          <w:szCs w:val="44"/>
          <w:lang w:val="en-US" w:eastAsia="zh-CN"/>
        </w:rPr>
        <w:t xml:space="preserve"> 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ascii="黑体" w:hAnsi="黑体" w:eastAsia="黑体" w:cs="宋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</w:rPr>
        <w:t>一、项目基本情况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（一）项目名称：</w:t>
      </w:r>
      <w:r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  <w:lang w:val="en-US" w:eastAsia="zh-CN"/>
        </w:rPr>
        <w:t>许昌市公安局2026年度制式服装清洗服务采购项目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:lang w:val="en-US" w:eastAsia="zh-CN"/>
        </w:rPr>
        <w:t>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（二）项目编号：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XCGAJB-2026003。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ascii="仿宋_GB2312" w:hAnsi="Calibri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（三）采购单位：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</w:rPr>
        <w:t>许昌市公安局。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ascii="仿宋_GB2312" w:hAnsi="Calibri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（四）采购方式：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</w:rPr>
        <w:t>竞争性磋商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ascii="仿宋_GB2312" w:hAnsi="Calibri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（五）开标日期：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  <w:t>2026年7月10日上午9点00分。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ascii="仿宋_GB2312" w:hAnsi="Calibri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（六）预算金额：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  <w:t>48.2112万元。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黑体" w:hAnsi="黑体" w:eastAsia="黑体" w:cs="宋体"/>
          <w:color w:val="000000" w:themeColor="text1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（七）评标办法：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</w:rPr>
        <w:t>综合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评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</w:rPr>
        <w:t>分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法。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黑体" w:hAnsi="黑体" w:eastAsia="黑体" w:cs="宋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</w:rPr>
        <w:t>二、资格审查情况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通过资格审查的投标人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eastAsia="zh-CN"/>
        </w:rPr>
        <w:t>许昌康洁洗涤有限公司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/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eastAsia="zh-CN"/>
        </w:rPr>
        <w:t>许昌市东城区邻洁洗衣店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/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eastAsia="zh-CN"/>
        </w:rPr>
        <w:t>许昌魏都衣馨衣怡服装皮具洗护中心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黑体" w:hAnsi="黑体" w:eastAsia="黑体" w:cs="宋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</w:rPr>
        <w:t>三、评审情况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（一）符合性审查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通过资格审查的投标人均通过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</w:rPr>
        <w:t>资格性审查和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符合性审查。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  <w:t xml:space="preserve">  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比较与评标结果</w:t>
      </w:r>
    </w:p>
    <w:tbl>
      <w:tblPr>
        <w:tblStyle w:val="6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9"/>
        <w:gridCol w:w="2184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napToGrid/>
              <w:spacing w:after="0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  <w:t>投标供应商名称</w:t>
            </w:r>
          </w:p>
        </w:tc>
        <w:tc>
          <w:tcPr>
            <w:tcW w:w="2184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  <w:t>最终评分</w:t>
            </w:r>
          </w:p>
        </w:tc>
        <w:tc>
          <w:tcPr>
            <w:tcW w:w="1327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49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640" w:firstLineChars="200"/>
              <w:rPr>
                <w:rFonts w:ascii="仿宋_GB2312" w:hAnsi="Calibri" w:eastAsia="仿宋_GB2312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u w:val="none"/>
                <w:lang w:eastAsia="zh-CN"/>
              </w:rPr>
              <w:t>许昌康洁洗涤有限公司</w:t>
            </w:r>
          </w:p>
        </w:tc>
        <w:tc>
          <w:tcPr>
            <w:tcW w:w="2184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87</w:t>
            </w:r>
          </w:p>
        </w:tc>
        <w:tc>
          <w:tcPr>
            <w:tcW w:w="1327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49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u w:val="none"/>
                <w:lang w:eastAsia="zh-CN"/>
              </w:rPr>
              <w:t>许昌魏都衣馨衣怡服装皮具洗护中心</w:t>
            </w:r>
          </w:p>
        </w:tc>
        <w:tc>
          <w:tcPr>
            <w:tcW w:w="2184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1327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49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u w:val="none"/>
                <w:lang w:eastAsia="zh-CN"/>
              </w:rPr>
              <w:t>许昌市东城区邻洁洗衣店</w:t>
            </w:r>
          </w:p>
        </w:tc>
        <w:tc>
          <w:tcPr>
            <w:tcW w:w="2184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56.89</w:t>
            </w:r>
          </w:p>
        </w:tc>
        <w:tc>
          <w:tcPr>
            <w:tcW w:w="1327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</w:tbl>
    <w:p>
      <w:pPr>
        <w:widowControl w:val="0"/>
        <w:autoSpaceDE w:val="0"/>
        <w:autoSpaceDN w:val="0"/>
        <w:snapToGrid/>
        <w:spacing w:after="0"/>
        <w:rPr>
          <w:rFonts w:hint="eastAsia" w:ascii="黑体" w:hAnsi="黑体" w:eastAsia="黑体" w:cs="宋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:lang w:val="en-US" w:eastAsia="zh-CN"/>
        </w:rPr>
        <w:t xml:space="preserve"> </w:t>
      </w:r>
    </w:p>
    <w:p>
      <w:pPr>
        <w:widowControl w:val="0"/>
        <w:autoSpaceDE w:val="0"/>
        <w:autoSpaceDN w:val="0"/>
        <w:snapToGrid/>
        <w:spacing w:after="0"/>
        <w:rPr>
          <w:rFonts w:hint="eastAsia" w:ascii="黑体" w:hAnsi="黑体" w:eastAsia="黑体" w:cs="宋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color w:val="000000" w:themeColor="text1"/>
          <w:sz w:val="32"/>
          <w:szCs w:val="32"/>
        </w:rPr>
        <w:t>四、</w:t>
      </w:r>
      <w:r>
        <w:rPr>
          <w:rFonts w:hint="eastAsia" w:ascii="黑体" w:hAnsi="黑体" w:eastAsia="黑体" w:cs="宋体"/>
          <w:color w:val="000000" w:themeColor="text1"/>
          <w:sz w:val="32"/>
          <w:szCs w:val="32"/>
          <w:lang w:eastAsia="zh-CN"/>
        </w:rPr>
        <w:t>评分</w:t>
      </w:r>
      <w:r>
        <w:rPr>
          <w:rFonts w:hint="eastAsia" w:ascii="黑体" w:hAnsi="黑体" w:eastAsia="黑体" w:cs="宋体"/>
          <w:color w:val="000000" w:themeColor="text1"/>
          <w:sz w:val="32"/>
          <w:szCs w:val="32"/>
        </w:rPr>
        <w:t>小组推荐成交候选人情况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经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</w:rPr>
        <w:t>评分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专家小组成员商讨后一致通过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</w:rPr>
        <w:t>许昌康洁洗涤有限公司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为此次采购项目的成交人，公司详情如下：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eastAsia="zh-CN"/>
        </w:rPr>
        <w:t>许昌康洁洗涤有限公司</w:t>
      </w:r>
    </w:p>
    <w:p>
      <w:pPr>
        <w:widowControl w:val="0"/>
        <w:autoSpaceDE w:val="0"/>
        <w:autoSpaceDN w:val="0"/>
        <w:snapToGrid/>
        <w:spacing w:after="0"/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地址：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</w:rPr>
        <w:t>许昌市劳动路北段高桥营小学南邻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联系人：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</w:rPr>
        <w:t>薛世兴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</w:rPr>
        <w:t>五、</w:t>
      </w:r>
      <w:r>
        <w:rPr>
          <w:rFonts w:hint="eastAsia" w:ascii="黑体" w:hAnsi="黑体" w:eastAsia="黑体" w:cs="宋体"/>
          <w:color w:val="000000" w:themeColor="text1"/>
          <w:sz w:val="32"/>
          <w:szCs w:val="32"/>
          <w:lang w:eastAsia="zh-CN"/>
        </w:rPr>
        <w:t>评分</w:t>
      </w:r>
      <w:r>
        <w:rPr>
          <w:rFonts w:hint="eastAsia" w:ascii="黑体" w:hAnsi="黑体" w:eastAsia="黑体" w:cs="宋体"/>
          <w:color w:val="000000" w:themeColor="text1"/>
          <w:sz w:val="32"/>
          <w:szCs w:val="32"/>
        </w:rPr>
        <w:t>小组成员名单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</w:rPr>
        <w:t>评分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小组成员签字：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</w:rPr>
        <w:t>董卫华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  <w:t xml:space="preserve">  裴潇潇  孙朝丽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</w:pP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</w:rPr>
        <w:t>监督人员签字：赵磊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  <w:t xml:space="preserve">  潘聪蕾</w:t>
      </w:r>
      <w:bookmarkStart w:id="0" w:name="_GoBack"/>
      <w:bookmarkEnd w:id="0"/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</w:rPr>
      </w:pPr>
    </w:p>
    <w:p>
      <w:pPr>
        <w:widowControl w:val="0"/>
        <w:autoSpaceDE w:val="0"/>
        <w:autoSpaceDN w:val="0"/>
        <w:snapToGrid/>
        <w:spacing w:after="0"/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</w:rPr>
      </w:pPr>
    </w:p>
    <w:p>
      <w:pPr>
        <w:widowControl w:val="0"/>
        <w:wordWrap w:val="0"/>
        <w:autoSpaceDE w:val="0"/>
        <w:autoSpaceDN w:val="0"/>
        <w:snapToGrid/>
        <w:spacing w:after="0"/>
        <w:ind w:firstLine="640" w:firstLineChars="200"/>
        <w:jc w:val="center"/>
        <w:rPr>
          <w:rFonts w:ascii="仿宋_GB2312" w:hAnsi="Calibri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年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月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  <w:t>10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 xml:space="preserve">日    </w:t>
      </w:r>
    </w:p>
    <w:sectPr>
      <w:footerReference r:id="rId3" w:type="default"/>
      <w:pgSz w:w="11906" w:h="16838"/>
      <w:pgMar w:top="2098" w:right="1474" w:bottom="1134" w:left="1587" w:header="709" w:footer="709" w:gutter="0"/>
      <w:cols w:space="0" w:num="1"/>
      <w:rtlGutter w:val="0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隶书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长美黑繁">
    <w:altName w:val="黑体"/>
    <w:panose1 w:val="02010609000101010101"/>
    <w:charset w:val="86"/>
    <w:family w:val="auto"/>
    <w:pitch w:val="default"/>
    <w:sig w:usb0="00000000" w:usb1="00000000" w:usb2="0100040E" w:usb3="00000000" w:csb0="00040000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Segoe UI Emoji">
    <w:altName w:val="Segoe U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830EF"/>
    <w:multiLevelType w:val="singleLevel"/>
    <w:tmpl w:val="69E830EF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D07813"/>
    <w:rsid w:val="03CB6331"/>
    <w:rsid w:val="085E516F"/>
    <w:rsid w:val="0DA00696"/>
    <w:rsid w:val="29854E29"/>
    <w:rsid w:val="2E6930A6"/>
    <w:rsid w:val="2FFB7335"/>
    <w:rsid w:val="408B3428"/>
    <w:rsid w:val="492261E8"/>
    <w:rsid w:val="49226839"/>
    <w:rsid w:val="51A3539F"/>
    <w:rsid w:val="51E324FB"/>
    <w:rsid w:val="590D45C7"/>
    <w:rsid w:val="5F415906"/>
    <w:rsid w:val="6B4773E5"/>
    <w:rsid w:val="74FD62AD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 Char"/>
    <w:basedOn w:val="5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日期 Char Char"/>
    <w:basedOn w:val="5"/>
    <w:link w:val="2"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365</Characters>
  <Lines>3</Lines>
  <Paragraphs>1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2026-07-10T02:12:00Z</cp:lastPrinted>
  <dcterms:modified xsi:type="dcterms:W3CDTF">2026-07-10T08:27:40Z</dcterms:modified>
  <dc:title>许昌市公安局“应急通信装备”采购项目询价报告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